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62323806"/>
        <w:docPartObj>
          <w:docPartGallery w:val="Cover Pages"/>
          <w:docPartUnique/>
        </w:docPartObj>
      </w:sdtPr>
      <w:sdtEndPr/>
      <w:sdtContent>
        <w:p w14:paraId="1857BAF0" w14:textId="443EA91D" w:rsidR="00A45CF6" w:rsidRDefault="00A45CF6" w:rsidP="002C3861"/>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7A19B5E3"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710B4E">
                                  <w:rPr>
                                    <w:rFonts w:asciiTheme="majorHAnsi" w:hAnsiTheme="majorHAnsi" w:cstheme="majorHAnsi"/>
                                    <w:color w:val="663588"/>
                                    <w:spacing w:val="20"/>
                                    <w:sz w:val="36"/>
                                    <w:szCs w:val="36"/>
                                  </w:rPr>
                                  <w:t>5</w:t>
                                </w:r>
                                <w:r w:rsidR="00DC739B">
                                  <w:rPr>
                                    <w:rFonts w:asciiTheme="majorHAnsi" w:hAnsiTheme="majorHAnsi" w:cstheme="majorHAnsi"/>
                                    <w:color w:val="663588"/>
                                    <w:spacing w:val="20"/>
                                    <w:sz w:val="36"/>
                                    <w:szCs w:val="36"/>
                                  </w:rPr>
                                  <w:t>.0</w:t>
                                </w:r>
                              </w:p>
                              <w:p w14:paraId="48702A15" w14:textId="0C42DC30"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710B4E">
                                  <w:rPr>
                                    <w:rFonts w:asciiTheme="majorHAnsi" w:hAnsiTheme="majorHAnsi" w:cstheme="majorHAnsi"/>
                                    <w:color w:val="663588"/>
                                    <w:spacing w:val="20"/>
                                    <w:sz w:val="36"/>
                                    <w:szCs w:val="36"/>
                                  </w:rPr>
                                  <w:t>31/07/2025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7A19B5E3"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710B4E">
                            <w:rPr>
                              <w:rFonts w:asciiTheme="majorHAnsi" w:hAnsiTheme="majorHAnsi" w:cstheme="majorHAnsi"/>
                              <w:color w:val="663588"/>
                              <w:spacing w:val="20"/>
                              <w:sz w:val="36"/>
                              <w:szCs w:val="36"/>
                            </w:rPr>
                            <w:t>5</w:t>
                          </w:r>
                          <w:r w:rsidR="00DC739B">
                            <w:rPr>
                              <w:rFonts w:asciiTheme="majorHAnsi" w:hAnsiTheme="majorHAnsi" w:cstheme="majorHAnsi"/>
                              <w:color w:val="663588"/>
                              <w:spacing w:val="20"/>
                              <w:sz w:val="36"/>
                              <w:szCs w:val="36"/>
                            </w:rPr>
                            <w:t>.0</w:t>
                          </w:r>
                        </w:p>
                        <w:p w14:paraId="48702A15" w14:textId="0C42DC30"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710B4E">
                            <w:rPr>
                              <w:rFonts w:asciiTheme="majorHAnsi" w:hAnsiTheme="majorHAnsi" w:cstheme="majorHAnsi"/>
                              <w:color w:val="663588"/>
                              <w:spacing w:val="20"/>
                              <w:sz w:val="36"/>
                              <w:szCs w:val="36"/>
                            </w:rPr>
                            <w:t>31/07/2025</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238B9FB" w14:textId="01BD6728"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0D7C17">
        <w:rPr>
          <w:color w:val="002060"/>
          <w:sz w:val="24"/>
          <w:szCs w:val="24"/>
        </w:rPr>
        <w:t>Mostyn House Medical Practice</w:t>
      </w:r>
      <w:r w:rsidRPr="00687DDA">
        <w:rPr>
          <w:color w:val="FF0000"/>
          <w:sz w:val="24"/>
          <w:szCs w:val="24"/>
        </w:rPr>
        <w:t xml:space="preserve">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6B364178" w:rsidR="00BF5E88" w:rsidRPr="00104B2A" w:rsidRDefault="000D7C17" w:rsidP="00BF5E88">
                            <w:pPr>
                              <w:pStyle w:val="ListParagraph"/>
                              <w:ind w:left="0"/>
                              <w:rPr>
                                <w:color w:val="1F4E79" w:themeColor="accent5" w:themeShade="80"/>
                                <w:sz w:val="24"/>
                                <w:szCs w:val="24"/>
                              </w:rPr>
                            </w:pPr>
                            <w:r>
                              <w:rPr>
                                <w:color w:val="002060"/>
                                <w:sz w:val="24"/>
                                <w:szCs w:val="24"/>
                              </w:rPr>
                              <w:t>Mostyn House Medical Practice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6B364178" w:rsidR="00BF5E88" w:rsidRPr="00104B2A" w:rsidRDefault="000D7C17" w:rsidP="00BF5E88">
                      <w:pPr>
                        <w:pStyle w:val="ListParagraph"/>
                        <w:ind w:left="0"/>
                        <w:rPr>
                          <w:color w:val="1F4E79" w:themeColor="accent5" w:themeShade="80"/>
                          <w:sz w:val="24"/>
                          <w:szCs w:val="24"/>
                        </w:rPr>
                      </w:pPr>
                      <w:r>
                        <w:rPr>
                          <w:color w:val="002060"/>
                          <w:sz w:val="24"/>
                          <w:szCs w:val="24"/>
                        </w:rPr>
                        <w:t>Mostyn House Medical Practice</w:t>
                      </w:r>
                      <w:r w:rsidR="00C831E7">
                        <w:rPr>
                          <w:color w:val="1F4E79" w:themeColor="accent5" w:themeShade="8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3FE352A2" w14:textId="1B7A7C8D"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r w:rsidR="00E867F6" w:rsidRPr="00737F36">
        <w:rPr>
          <w:color w:val="1F4E79" w:themeColor="accent5" w:themeShade="80"/>
          <w:sz w:val="24"/>
          <w:szCs w:val="24"/>
        </w:rPr>
        <w:t>routes</w:t>
      </w:r>
      <w:r w:rsidR="00100380">
        <w:rPr>
          <w:color w:val="1F4E79" w:themeColor="accent5" w:themeShade="80"/>
          <w:sz w:val="24"/>
          <w:szCs w:val="24"/>
        </w:rPr>
        <w:t>,</w:t>
      </w:r>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0C5CA3B4" w14:textId="0B76B150" w:rsidR="00BF5E88" w:rsidRPr="00A54323"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w:t>
      </w:r>
      <w:r w:rsidR="000D7C17">
        <w:rPr>
          <w:color w:val="1F4E79" w:themeColor="accent5" w:themeShade="80"/>
          <w:sz w:val="24"/>
          <w:szCs w:val="24"/>
        </w:rPr>
        <w:t>.</w:t>
      </w:r>
    </w:p>
    <w:p w14:paraId="5900DAA6" w14:textId="600C406F"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20510AAB" w14:textId="77777777" w:rsidR="000D7C17" w:rsidRDefault="000D7C17" w:rsidP="00BF5E88">
      <w:pPr>
        <w:jc w:val="both"/>
        <w:rPr>
          <w:b/>
          <w:iCs/>
          <w:color w:val="1F4E79" w:themeColor="accent5" w:themeShade="80"/>
          <w:sz w:val="28"/>
          <w:szCs w:val="29"/>
          <w:u w:val="single"/>
        </w:rPr>
      </w:pPr>
    </w:p>
    <w:p w14:paraId="0F48299A" w14:textId="2ADAA0A1"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lastRenderedPageBreak/>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lastRenderedPageBreak/>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 processing is necessary for reasons of public interest in the area of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6AB8A959"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 which can be found</w:t>
      </w:r>
      <w:r w:rsidRPr="00625640">
        <w:rPr>
          <w:i/>
          <w:iCs/>
          <w:color w:val="1F4E79" w:themeColor="accent5" w:themeShade="80"/>
          <w:sz w:val="24"/>
          <w:szCs w:val="24"/>
        </w:rPr>
        <w:t xml:space="preserve"> </w:t>
      </w:r>
      <w:r w:rsidRPr="00906C7D">
        <w:rPr>
          <w:color w:val="1F4E79" w:themeColor="accent5" w:themeShade="80"/>
          <w:sz w:val="24"/>
          <w:szCs w:val="24"/>
        </w:rPr>
        <w:t>here</w:t>
      </w:r>
      <w:r w:rsidR="000D7C17">
        <w:rPr>
          <w:color w:val="1F4E79" w:themeColor="accent5" w:themeShade="80"/>
          <w:sz w:val="24"/>
          <w:szCs w:val="24"/>
        </w:rPr>
        <w:t xml:space="preserve">. </w:t>
      </w:r>
      <w:r w:rsidRPr="00383B50">
        <w:rPr>
          <w:i/>
          <w:color w:val="FF0000"/>
          <w:sz w:val="24"/>
          <w:szCs w:val="24"/>
        </w:rPr>
        <w:t xml:space="preserve"> </w:t>
      </w:r>
      <w:hyperlink r:id="rId11" w:history="1">
        <w:r w:rsidR="000D7C17" w:rsidRPr="000D7C17">
          <w:rPr>
            <w:rStyle w:val="Hyperlink"/>
            <w:i/>
            <w:sz w:val="24"/>
            <w:szCs w:val="24"/>
          </w:rPr>
          <w:t>Records Management Policy</w:t>
        </w:r>
      </w:hyperlink>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r w:rsidR="00E867F6" w:rsidRPr="00737F36">
        <w:rPr>
          <w:color w:val="1F4E79" w:themeColor="accent5" w:themeShade="80"/>
          <w:sz w:val="24"/>
          <w:szCs w:val="24"/>
        </w:rPr>
        <w:t>information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02DF8892" w:rsidR="00BF5E88" w:rsidRPr="000D7C17" w:rsidRDefault="007F1199" w:rsidP="00BF5E88">
      <w:pPr>
        <w:jc w:val="both"/>
        <w:rPr>
          <w:color w:val="002060"/>
          <w:sz w:val="24"/>
          <w:szCs w:val="24"/>
        </w:rPr>
      </w:pPr>
      <w:r w:rsidRPr="000D7C17">
        <w:rPr>
          <w:color w:val="002060"/>
          <w:sz w:val="24"/>
          <w:szCs w:val="24"/>
        </w:rPr>
        <w:t>PRACTICE NAME:</w:t>
      </w:r>
      <w:r w:rsidR="000D7C17" w:rsidRPr="000D7C17">
        <w:rPr>
          <w:color w:val="002060"/>
          <w:sz w:val="24"/>
          <w:szCs w:val="24"/>
        </w:rPr>
        <w:t xml:space="preserve"> Mostyn House Medical Practice</w:t>
      </w:r>
    </w:p>
    <w:p w14:paraId="217956AB" w14:textId="0E232B5E" w:rsidR="007F1199" w:rsidRPr="000D7C17" w:rsidRDefault="007F1199" w:rsidP="00BF5E88">
      <w:pPr>
        <w:jc w:val="both"/>
        <w:rPr>
          <w:color w:val="002060"/>
          <w:sz w:val="24"/>
          <w:szCs w:val="24"/>
        </w:rPr>
      </w:pPr>
      <w:r w:rsidRPr="000D7C17">
        <w:rPr>
          <w:color w:val="002060"/>
          <w:sz w:val="24"/>
          <w:szCs w:val="24"/>
        </w:rPr>
        <w:t>TEL:</w:t>
      </w:r>
      <w:r w:rsidR="000D7C17" w:rsidRPr="000D7C17">
        <w:rPr>
          <w:color w:val="002060"/>
          <w:sz w:val="24"/>
          <w:szCs w:val="24"/>
        </w:rPr>
        <w:t xml:space="preserve"> 01492 860401</w:t>
      </w:r>
    </w:p>
    <w:p w14:paraId="46FE90EC" w14:textId="47F294EC" w:rsidR="007F1199" w:rsidRPr="00141D7F" w:rsidRDefault="007F1199" w:rsidP="00BF5E88">
      <w:pPr>
        <w:jc w:val="both"/>
        <w:rPr>
          <w:color w:val="002060"/>
          <w:sz w:val="24"/>
          <w:szCs w:val="24"/>
        </w:rPr>
      </w:pPr>
      <w:r w:rsidRPr="000D7C17">
        <w:rPr>
          <w:color w:val="002060"/>
          <w:sz w:val="24"/>
          <w:szCs w:val="24"/>
        </w:rPr>
        <w:t>EMAIL:</w:t>
      </w:r>
      <w:r w:rsidR="000D7C17" w:rsidRPr="000D7C17">
        <w:rPr>
          <w:color w:val="002060"/>
          <w:sz w:val="24"/>
          <w:szCs w:val="24"/>
        </w:rPr>
        <w:t xml:space="preserve"> routine.enquiriesw94001@wales.nhs.uk</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457B6293"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710B4E">
        <w:rPr>
          <w:color w:val="1F4E79" w:themeColor="accent5" w:themeShade="80"/>
          <w:sz w:val="24"/>
          <w:szCs w:val="24"/>
        </w:rPr>
        <w:t>6</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2"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2DBDCECC" w14:textId="507A583D"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lastRenderedPageBreak/>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6622B98C" w14:textId="77777777" w:rsidR="00710B4E" w:rsidRDefault="00710B4E" w:rsidP="00BF5E88">
      <w:pPr>
        <w:jc w:val="both"/>
        <w:rPr>
          <w:b/>
          <w:iCs/>
          <w:color w:val="1F4E79" w:themeColor="accent5" w:themeShade="80"/>
          <w:sz w:val="28"/>
          <w:szCs w:val="29"/>
          <w:u w:val="single"/>
        </w:rPr>
      </w:pPr>
    </w:p>
    <w:p w14:paraId="1D22E842" w14:textId="298172ED"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3"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4"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0F35C9">
          <w:footerReference w:type="default" r:id="rId15"/>
          <w:headerReference w:type="first" r:id="rId16"/>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6872E114"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r w:rsidR="000D7C17">
              <w:rPr>
                <w:rFonts w:ascii="Arial" w:hAnsi="Arial" w:cs="Arial"/>
                <w:b w:val="0"/>
                <w:bCs w:val="0"/>
                <w:sz w:val="24"/>
                <w:szCs w:val="24"/>
              </w:rPr>
              <w:t>Conwy West Cluster</w:t>
            </w:r>
            <w:r w:rsidRPr="00E17866">
              <w:rPr>
                <w:rFonts w:ascii="Arial" w:hAnsi="Arial" w:cs="Arial"/>
                <w:b w:val="0"/>
                <w:bCs w:val="0"/>
                <w:sz w:val="24"/>
                <w:szCs w:val="24"/>
              </w:rPr>
              <w:t>.</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7D15E76E" w14:textId="77777777" w:rsidR="0092421D" w:rsidRDefault="0092421D">
            <w:pPr>
              <w:jc w:val="both"/>
              <w:rPr>
                <w:rFonts w:ascii="Arial" w:hAnsi="Arial" w:cs="Arial"/>
                <w:b w:val="0"/>
                <w:bCs w:val="0"/>
                <w:color w:val="FFFFFF" w:themeColor="background1"/>
                <w:sz w:val="24"/>
                <w:szCs w:val="24"/>
              </w:rPr>
            </w:pPr>
          </w:p>
          <w:p w14:paraId="11DFD18F" w14:textId="77777777" w:rsidR="000D7C17" w:rsidRDefault="000D7C17">
            <w:pPr>
              <w:jc w:val="both"/>
              <w:rPr>
                <w:rFonts w:ascii="Arial" w:hAnsi="Arial" w:cs="Arial"/>
                <w:b w:val="0"/>
                <w:bCs w:val="0"/>
                <w:color w:val="FFFFFF" w:themeColor="background1"/>
                <w:sz w:val="24"/>
                <w:szCs w:val="24"/>
              </w:rPr>
            </w:pPr>
          </w:p>
          <w:p w14:paraId="3EC44280" w14:textId="77777777" w:rsidR="000D7C17" w:rsidRDefault="000D7C17">
            <w:pPr>
              <w:jc w:val="both"/>
              <w:rPr>
                <w:rFonts w:ascii="Arial" w:hAnsi="Arial" w:cs="Arial"/>
                <w:b w:val="0"/>
                <w:bCs w:val="0"/>
                <w:color w:val="FFFFFF" w:themeColor="background1"/>
                <w:sz w:val="24"/>
                <w:szCs w:val="24"/>
              </w:rPr>
            </w:pPr>
          </w:p>
          <w:p w14:paraId="205185B4" w14:textId="77777777" w:rsidR="000D7C17" w:rsidRDefault="000D7C17">
            <w:pPr>
              <w:jc w:val="both"/>
              <w:rPr>
                <w:rFonts w:ascii="Arial" w:hAnsi="Arial" w:cs="Arial"/>
                <w:b w:val="0"/>
                <w:bCs w:val="0"/>
                <w:color w:val="FFFFFF" w:themeColor="background1"/>
                <w:sz w:val="24"/>
                <w:szCs w:val="24"/>
              </w:rPr>
            </w:pPr>
          </w:p>
          <w:p w14:paraId="29F2758D" w14:textId="77777777" w:rsidR="000D7C17" w:rsidRDefault="000D7C17">
            <w:pPr>
              <w:jc w:val="both"/>
              <w:rPr>
                <w:rFonts w:ascii="Arial" w:hAnsi="Arial" w:cs="Arial"/>
                <w:b w:val="0"/>
                <w:bCs w:val="0"/>
                <w:color w:val="FFFFFF" w:themeColor="background1"/>
                <w:sz w:val="24"/>
                <w:szCs w:val="24"/>
              </w:rPr>
            </w:pPr>
          </w:p>
          <w:p w14:paraId="519DE850" w14:textId="77777777" w:rsidR="000D7C17" w:rsidRPr="002779F4" w:rsidRDefault="000D7C17">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7"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The Practice will share your information with other services in order to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8"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p w14:paraId="3857B24D" w14:textId="77777777" w:rsidR="000D7C17" w:rsidRDefault="000D7C17" w:rsidP="00F2476D"/>
    <w:p w14:paraId="5A46BE83" w14:textId="77777777" w:rsidR="000D7C17" w:rsidRDefault="000D7C17"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Out of hours and A&amp;E staff may need to access your records in order to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2B47D579" w:rsidR="00F2476D" w:rsidRPr="00936BC6" w:rsidRDefault="00F2476D">
            <w:pPr>
              <w:rPr>
                <w:b w:val="0"/>
                <w:bCs w:val="0"/>
              </w:rPr>
            </w:pPr>
            <w:r w:rsidRPr="00936BC6">
              <w:rPr>
                <w:rFonts w:ascii="Arial" w:hAnsi="Arial" w:cs="Arial"/>
                <w:b w:val="0"/>
                <w:bCs w:val="0"/>
                <w:sz w:val="24"/>
                <w:szCs w:val="24"/>
              </w:rPr>
              <w:t xml:space="preserve">The law permits </w:t>
            </w:r>
            <w:r w:rsidR="000D7C17">
              <w:rPr>
                <w:rFonts w:ascii="Arial" w:hAnsi="Arial" w:cs="Arial"/>
                <w:b w:val="0"/>
                <w:bCs w:val="0"/>
                <w:sz w:val="24"/>
                <w:szCs w:val="24"/>
              </w:rPr>
              <w:t>Mostyn House Medical Practice</w:t>
            </w:r>
            <w:r w:rsidRPr="00936BC6">
              <w:rPr>
                <w:rFonts w:ascii="Arial" w:hAnsi="Arial" w:cs="Arial"/>
                <w:b w:val="0"/>
                <w:bCs w:val="0"/>
                <w:sz w:val="24"/>
                <w:szCs w:val="24"/>
              </w:rPr>
              <w:t xml:space="preserve"> to share information with </w:t>
            </w:r>
            <w:hyperlink r:id="rId19"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20" w:history="1">
              <w:r>
                <w:rPr>
                  <w:rStyle w:val="Hyperlink"/>
                  <w:rFonts w:ascii="Arial" w:hAnsi="Arial" w:cs="Arial"/>
                  <w:bCs/>
                  <w:sz w:val="24"/>
                  <w:szCs w:val="24"/>
                </w:rPr>
                <w:t>Public Health Wales</w:t>
              </w:r>
            </w:hyperlink>
          </w:p>
          <w:p w14:paraId="5DF827DA" w14:textId="7DD55AB2"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‘….necessary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1"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2"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3"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4"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‘….necessary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 necessary for the reasons of public interest in the area of public health, such as protecting against serious cross-border threats to health or ensuring high standards of quality and safety of health care and medicinal products or medical devices …..’</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p w14:paraId="505D7042" w14:textId="77777777" w:rsidR="000D7C17" w:rsidRDefault="000D7C17" w:rsidP="00F2476D"/>
    <w:p w14:paraId="76534A90" w14:textId="77777777" w:rsidR="000D7C17" w:rsidRDefault="000D7C17"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5"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746066C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6" w:history="1">
              <w:r>
                <w:rPr>
                  <w:rStyle w:val="Hyperlink"/>
                  <w:rFonts w:ascii="Arial" w:hAnsi="Arial" w:cs="Arial"/>
                  <w:sz w:val="24"/>
                  <w:szCs w:val="24"/>
                </w:rPr>
                <w:t>Health and Care Research Wales</w:t>
              </w:r>
            </w:hyperlink>
            <w:r>
              <w:rPr>
                <w:rFonts w:ascii="Arial" w:hAnsi="Arial" w:cs="Arial"/>
                <w:sz w:val="24"/>
                <w:szCs w:val="24"/>
                <w:highlight w:val="yellow"/>
              </w:rPr>
              <w:t>]</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9(2)(a) – ‘the data subject has given explicit consent to..’</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6(1)(d) ‘…. Necessary in order to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S10  and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7"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‘….necessary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There may be rare situations where individuals make claims against the practice, when this occurs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All Wales GMPI scheme.  The Legal and Risk Service Team Privacy Notice is available </w:t>
            </w:r>
            <w:hyperlink r:id="rId28"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 is necessary for reasons of substantial public interest’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SAIL Databank is a rich and trusted population databank. It improves lives by providing researchers with secure, linkable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 xml:space="preserve">SAIL Databank does not receive or handle identifiable </w:t>
            </w:r>
            <w:r w:rsidRPr="00617B09">
              <w:rPr>
                <w:rFonts w:ascii="Arial" w:hAnsi="Arial" w:cs="Arial"/>
                <w:b w:val="0"/>
                <w:bCs w:val="0"/>
                <w:sz w:val="24"/>
                <w:szCs w:val="24"/>
              </w:rPr>
              <w:lastRenderedPageBreak/>
              <w:t>data.</w:t>
            </w:r>
            <w:r w:rsidR="000E6C70">
              <w:rPr>
                <w:rFonts w:ascii="Arial" w:hAnsi="Arial" w:cs="Arial"/>
                <w:b w:val="0"/>
                <w:bCs w:val="0"/>
                <w:sz w:val="24"/>
                <w:szCs w:val="24"/>
              </w:rPr>
              <w:t xml:space="preserve"> Details on the anonymisation and Linkage Process in available </w:t>
            </w:r>
            <w:hyperlink r:id="rId29"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‘….necessary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r w:rsidR="004D1931">
              <w:rPr>
                <w:rFonts w:ascii="Arial" w:hAnsi="Arial" w:cs="Arial"/>
                <w:bCs/>
                <w:sz w:val="24"/>
                <w:szCs w:val="24"/>
              </w:rPr>
              <w:t>….</w:t>
            </w:r>
            <w:r w:rsidR="00AD02D4" w:rsidRPr="00F55D94">
              <w:rPr>
                <w:rFonts w:ascii="Arial" w:hAnsi="Arial" w:cs="Arial"/>
                <w:bCs/>
                <w:sz w:val="24"/>
                <w:szCs w:val="24"/>
              </w:rPr>
              <w:t>processing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tbl>
      <w:tblPr>
        <w:tblStyle w:val="GridTable4-Accent5"/>
        <w:tblW w:w="15163" w:type="dxa"/>
        <w:tblInd w:w="-5" w:type="dxa"/>
        <w:tblLayout w:type="fixed"/>
        <w:tblLook w:val="04A0" w:firstRow="1" w:lastRow="0" w:firstColumn="1" w:lastColumn="0" w:noHBand="0" w:noVBand="1"/>
      </w:tblPr>
      <w:tblGrid>
        <w:gridCol w:w="3539"/>
        <w:gridCol w:w="3827"/>
        <w:gridCol w:w="7797"/>
      </w:tblGrid>
      <w:tr w:rsidR="00C121D0" w:rsidRPr="004C6E80" w14:paraId="2BC1F95D" w14:textId="77777777" w:rsidTr="00472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507EAA7" w14:textId="77777777" w:rsidR="00C121D0" w:rsidRPr="004C6E80" w:rsidRDefault="00C121D0" w:rsidP="00472C04">
            <w:pPr>
              <w:rPr>
                <w:rFonts w:cstheme="minorHAnsi"/>
                <w:b w:val="0"/>
                <w:bCs w:val="0"/>
                <w:i/>
                <w:color w:val="2E74B5" w:themeColor="accent5" w:themeShade="BF"/>
                <w:sz w:val="24"/>
                <w:szCs w:val="24"/>
              </w:rPr>
            </w:pPr>
            <w:r w:rsidRPr="004C6E80">
              <w:rPr>
                <w:rStyle w:val="normaltextrun"/>
                <w:rFonts w:cstheme="minorHAnsi"/>
                <w:sz w:val="24"/>
                <w:szCs w:val="24"/>
                <w:u w:val="single"/>
              </w:rPr>
              <w:t>Medical Examiners Service (MES)</w:t>
            </w:r>
            <w:r w:rsidRPr="004C6E80">
              <w:rPr>
                <w:rStyle w:val="normaltextrun"/>
                <w:rFonts w:cstheme="minorHAnsi"/>
                <w:sz w:val="24"/>
                <w:szCs w:val="24"/>
              </w:rPr>
              <w:t xml:space="preserve"> – NHS Wales Shared Services Partnership are responsible for the management of the MES service.  The MES provides independent scrutiny of non-coronial deaths both in hospital and in the community. </w:t>
            </w:r>
          </w:p>
        </w:tc>
      </w:tr>
      <w:tr w:rsidR="00C121D0" w:rsidRPr="004C6E80" w14:paraId="02A12061" w14:textId="77777777" w:rsidTr="00472C0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B881F74" w14:textId="77777777" w:rsidR="00C121D0" w:rsidRPr="004C6E80" w:rsidRDefault="00C121D0" w:rsidP="00472C04">
            <w:pPr>
              <w:rPr>
                <w:rFonts w:cstheme="minorHAnsi"/>
                <w:sz w:val="24"/>
                <w:szCs w:val="24"/>
              </w:rPr>
            </w:pPr>
            <w:r w:rsidRPr="004C6E80">
              <w:rPr>
                <w:rFonts w:cstheme="minorHAnsi"/>
                <w:sz w:val="24"/>
                <w:szCs w:val="24"/>
              </w:rPr>
              <w:t>Purpose of the Processing</w:t>
            </w:r>
          </w:p>
        </w:tc>
        <w:tc>
          <w:tcPr>
            <w:tcW w:w="3827" w:type="dxa"/>
            <w:shd w:val="clear" w:color="auto" w:fill="D9E2F3" w:themeFill="accent1" w:themeFillTint="33"/>
            <w:hideMark/>
          </w:tcPr>
          <w:p w14:paraId="402B8799" w14:textId="77777777" w:rsidR="00C121D0" w:rsidRPr="004C6E80" w:rsidRDefault="00C121D0" w:rsidP="00472C04">
            <w:pPr>
              <w:jc w:val="center"/>
              <w:cnfStyle w:val="000000100000" w:firstRow="0" w:lastRow="0" w:firstColumn="0" w:lastColumn="0" w:oddVBand="0" w:evenVBand="0" w:oddHBand="1" w:evenHBand="0" w:firstRowFirstColumn="0" w:firstRowLastColumn="0" w:lastRowFirstColumn="0" w:lastRowLastColumn="0"/>
              <w:rPr>
                <w:rFonts w:cstheme="minorHAnsi"/>
                <w:b/>
                <w:i/>
                <w:iCs/>
                <w:color w:val="2E74B5" w:themeColor="accent5" w:themeShade="BF"/>
                <w:sz w:val="24"/>
                <w:szCs w:val="24"/>
              </w:rPr>
            </w:pPr>
            <w:r w:rsidRPr="004C6E80">
              <w:rPr>
                <w:rFonts w:cstheme="minorHAnsi"/>
                <w:b/>
                <w:sz w:val="24"/>
                <w:szCs w:val="24"/>
              </w:rPr>
              <w:t>Recipients</w:t>
            </w:r>
          </w:p>
        </w:tc>
        <w:tc>
          <w:tcPr>
            <w:tcW w:w="7797" w:type="dxa"/>
            <w:shd w:val="clear" w:color="auto" w:fill="D9E2F3" w:themeFill="accent1" w:themeFillTint="33"/>
            <w:hideMark/>
          </w:tcPr>
          <w:p w14:paraId="60FDC5FB" w14:textId="77777777" w:rsidR="00C121D0" w:rsidRPr="004C6E80" w:rsidRDefault="00C121D0" w:rsidP="00472C04">
            <w:pPr>
              <w:jc w:val="center"/>
              <w:cnfStyle w:val="000000100000" w:firstRow="0" w:lastRow="0" w:firstColumn="0" w:lastColumn="0" w:oddVBand="0" w:evenVBand="0" w:oddHBand="1" w:evenHBand="0" w:firstRowFirstColumn="0" w:firstRowLastColumn="0" w:lastRowFirstColumn="0" w:lastRowLastColumn="0"/>
              <w:rPr>
                <w:rFonts w:cstheme="minorHAnsi"/>
                <w:b/>
                <w:i/>
                <w:iCs/>
                <w:color w:val="2E74B5" w:themeColor="accent5" w:themeShade="BF"/>
                <w:sz w:val="24"/>
                <w:szCs w:val="24"/>
              </w:rPr>
            </w:pPr>
            <w:r w:rsidRPr="004C6E80">
              <w:rPr>
                <w:rFonts w:cstheme="minorHAnsi"/>
                <w:b/>
                <w:sz w:val="24"/>
                <w:szCs w:val="24"/>
              </w:rPr>
              <w:t>Legal Basis</w:t>
            </w:r>
          </w:p>
        </w:tc>
      </w:tr>
      <w:tr w:rsidR="00C121D0" w:rsidRPr="004C6E80" w14:paraId="08EBB8E5" w14:textId="77777777" w:rsidTr="00472C04">
        <w:tc>
          <w:tcPr>
            <w:cnfStyle w:val="001000000000" w:firstRow="0" w:lastRow="0" w:firstColumn="1" w:lastColumn="0" w:oddVBand="0" w:evenVBand="0" w:oddHBand="0" w:evenHBand="0" w:firstRowFirstColumn="0" w:firstRowLastColumn="0" w:lastRowFirstColumn="0" w:lastRowLastColumn="0"/>
            <w:tcW w:w="3539" w:type="dxa"/>
            <w:hideMark/>
          </w:tcPr>
          <w:p w14:paraId="7A63D5D1" w14:textId="77777777" w:rsidR="00C121D0" w:rsidRPr="004C6E80" w:rsidRDefault="00C121D0" w:rsidP="00472C04">
            <w:pPr>
              <w:rPr>
                <w:rFonts w:cstheme="minorHAnsi"/>
                <w:sz w:val="24"/>
                <w:szCs w:val="24"/>
              </w:rPr>
            </w:pPr>
            <w:r w:rsidRPr="004C6E80">
              <w:rPr>
                <w:rFonts w:cstheme="minorHAnsi"/>
                <w:b w:val="0"/>
                <w:bCs w:val="0"/>
                <w:sz w:val="24"/>
                <w:szCs w:val="24"/>
              </w:rPr>
              <w:t xml:space="preserve">Information is accessed/ shared by the practice with MES for the purpose of independent scrutiny of non-coronial deaths. </w:t>
            </w:r>
          </w:p>
          <w:p w14:paraId="630EB60D" w14:textId="77777777" w:rsidR="00C121D0" w:rsidRPr="004C6E80" w:rsidRDefault="00C121D0" w:rsidP="00472C04">
            <w:pPr>
              <w:rPr>
                <w:rFonts w:cstheme="minorHAnsi"/>
                <w:b w:val="0"/>
                <w:bCs w:val="0"/>
                <w:sz w:val="24"/>
                <w:szCs w:val="24"/>
              </w:rPr>
            </w:pPr>
          </w:p>
          <w:p w14:paraId="466AFCB2" w14:textId="77777777" w:rsidR="00C121D0" w:rsidRPr="004C6E80" w:rsidRDefault="00C121D0" w:rsidP="00472C04">
            <w:pPr>
              <w:rPr>
                <w:rFonts w:cstheme="minorHAnsi"/>
                <w:b w:val="0"/>
                <w:bCs w:val="0"/>
                <w:sz w:val="24"/>
                <w:szCs w:val="24"/>
              </w:rPr>
            </w:pPr>
            <w:r w:rsidRPr="004C6E80">
              <w:rPr>
                <w:rFonts w:cstheme="minorHAnsi"/>
                <w:b w:val="0"/>
                <w:bCs w:val="0"/>
                <w:sz w:val="24"/>
                <w:szCs w:val="24"/>
              </w:rPr>
              <w:t xml:space="preserve">The practice may also share next of kin details of the deceased with the MES. Further information is available </w:t>
            </w:r>
            <w:hyperlink r:id="rId30" w:history="1">
              <w:r w:rsidRPr="004C6E80">
                <w:rPr>
                  <w:rStyle w:val="Hyperlink"/>
                  <w:rFonts w:cstheme="minorHAnsi"/>
                  <w:sz w:val="24"/>
                  <w:szCs w:val="24"/>
                </w:rPr>
                <w:t>here.</w:t>
              </w:r>
            </w:hyperlink>
          </w:p>
          <w:p w14:paraId="116D08B1" w14:textId="77777777" w:rsidR="00C121D0" w:rsidRPr="004C6E80" w:rsidRDefault="00C121D0" w:rsidP="00472C04">
            <w:pPr>
              <w:rPr>
                <w:rFonts w:cstheme="minorHAnsi"/>
                <w:b w:val="0"/>
                <w:bCs w:val="0"/>
                <w:sz w:val="24"/>
                <w:szCs w:val="24"/>
              </w:rPr>
            </w:pPr>
          </w:p>
        </w:tc>
        <w:tc>
          <w:tcPr>
            <w:tcW w:w="3827" w:type="dxa"/>
            <w:hideMark/>
          </w:tcPr>
          <w:p w14:paraId="1EF3217B" w14:textId="77777777" w:rsidR="00C121D0" w:rsidRPr="004C6E80" w:rsidRDefault="00C121D0" w:rsidP="00472C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 xml:space="preserve">NHS Wales Shared Services Partnership – Medical Examiners Service. </w:t>
            </w:r>
          </w:p>
        </w:tc>
        <w:tc>
          <w:tcPr>
            <w:tcW w:w="7797" w:type="dxa"/>
            <w:hideMark/>
          </w:tcPr>
          <w:p w14:paraId="7058217B"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For accessing records of the deceased:</w:t>
            </w:r>
          </w:p>
          <w:p w14:paraId="00095590" w14:textId="77777777" w:rsidR="00C121D0" w:rsidRPr="004C6E80" w:rsidRDefault="00C121D0" w:rsidP="00472C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 xml:space="preserve">Section 251 of the National Health Service Act 2006 and Regulation 5 of the Health Service (Control of Patient Information) Regulations 2002.  </w:t>
            </w:r>
          </w:p>
          <w:p w14:paraId="01241BC1"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149758F"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For sharing contact details of next of kin:</w:t>
            </w:r>
          </w:p>
          <w:p w14:paraId="5A2FCA27"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6E80">
              <w:rPr>
                <w:rFonts w:cstheme="minorHAnsi"/>
                <w:sz w:val="24"/>
                <w:szCs w:val="24"/>
              </w:rPr>
              <w:t>Art 6(1)(e) ‘….necessary for the performance of a task carried out in the public interest or in the exercise of official authority…’</w:t>
            </w:r>
          </w:p>
          <w:p w14:paraId="766B2935"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818DDCE"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D01CB94" w14:textId="77777777" w:rsidR="00C121D0" w:rsidRPr="004C6E80" w:rsidRDefault="00C121D0" w:rsidP="00472C04">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5620F1A5" w14:textId="77777777" w:rsidR="00C121D0" w:rsidRDefault="00C121D0" w:rsidP="00C121D0">
      <w:pPr>
        <w:rPr>
          <w:rFonts w:cstheme="minorHAnsi"/>
          <w:sz w:val="24"/>
          <w:szCs w:val="24"/>
        </w:rPr>
      </w:pPr>
    </w:p>
    <w:tbl>
      <w:tblPr>
        <w:tblStyle w:val="GridTable4-Accent5"/>
        <w:tblW w:w="0" w:type="auto"/>
        <w:tblLook w:val="04A0" w:firstRow="1" w:lastRow="0" w:firstColumn="1" w:lastColumn="0" w:noHBand="0" w:noVBand="1"/>
      </w:tblPr>
      <w:tblGrid>
        <w:gridCol w:w="3539"/>
        <w:gridCol w:w="3827"/>
        <w:gridCol w:w="7797"/>
      </w:tblGrid>
      <w:tr w:rsidR="004B6460" w14:paraId="626E3B18" w14:textId="77777777" w:rsidTr="004B64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9FB8CE1" w14:textId="77777777" w:rsidR="004B6460" w:rsidRDefault="004B6460">
            <w:pPr>
              <w:rPr>
                <w:rFonts w:ascii="Arial" w:eastAsia="Arial" w:hAnsi="Arial" w:cs="Arial"/>
                <w:sz w:val="24"/>
                <w:szCs w:val="24"/>
              </w:rPr>
            </w:pPr>
            <w:r>
              <w:rPr>
                <w:rFonts w:ascii="Arial" w:eastAsia="Arial" w:hAnsi="Arial" w:cs="Arial"/>
                <w:sz w:val="24"/>
                <w:szCs w:val="24"/>
                <w:u w:val="single"/>
              </w:rPr>
              <w:t>National Exercise Referral Scheme (NERS)</w:t>
            </w:r>
            <w:r>
              <w:rPr>
                <w:rFonts w:ascii="Arial" w:eastAsia="Arial" w:hAnsi="Arial" w:cs="Arial"/>
                <w:sz w:val="24"/>
                <w:szCs w:val="24"/>
              </w:rPr>
              <w:t xml:space="preserve"> – Public Health Wales and your Local Authority are responsible for the management of the NERS service.  The NERS Service provides a 16-week programme of physical activity when referred by Clinical Staff at the practice.</w:t>
            </w:r>
          </w:p>
          <w:p w14:paraId="12585980" w14:textId="77777777" w:rsidR="004B6460" w:rsidRDefault="004B6460">
            <w:pPr>
              <w:rPr>
                <w:rStyle w:val="normaltextrun"/>
              </w:rPr>
            </w:pPr>
          </w:p>
        </w:tc>
      </w:tr>
      <w:tr w:rsidR="004B6460" w14:paraId="0D3C0C19" w14:textId="77777777" w:rsidTr="004B6460">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9E2F3" w:themeFill="accent1" w:themeFillTint="33"/>
            <w:hideMark/>
          </w:tcPr>
          <w:p w14:paraId="39DDFF61" w14:textId="77777777" w:rsidR="004B6460" w:rsidRDefault="004B6460">
            <w:r>
              <w:rPr>
                <w:rFonts w:ascii="Arial" w:hAnsi="Arial" w:cs="Arial"/>
                <w:sz w:val="24"/>
                <w:szCs w:val="24"/>
              </w:rPr>
              <w:t>Purpose of the Processing</w:t>
            </w:r>
          </w:p>
        </w:tc>
        <w:tc>
          <w:tcPr>
            <w:tcW w:w="3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9E2F3" w:themeFill="accent1" w:themeFillTint="33"/>
            <w:hideMark/>
          </w:tcPr>
          <w:p w14:paraId="149B0927" w14:textId="77777777" w:rsidR="004B6460" w:rsidRDefault="004B64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Pr>
                <w:rFonts w:ascii="Arial" w:hAnsi="Arial" w:cs="Arial"/>
                <w:b/>
                <w:bCs/>
                <w:sz w:val="24"/>
                <w:szCs w:val="24"/>
              </w:rPr>
              <w:t>Recipients</w:t>
            </w:r>
          </w:p>
        </w:tc>
        <w:tc>
          <w:tcPr>
            <w:tcW w:w="77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9E2F3" w:themeFill="accent1" w:themeFillTint="33"/>
            <w:hideMark/>
          </w:tcPr>
          <w:p w14:paraId="1ABAD9A3" w14:textId="77777777" w:rsidR="004B6460" w:rsidRDefault="004B64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Pr>
                <w:rFonts w:ascii="Arial" w:hAnsi="Arial" w:cs="Arial"/>
                <w:b/>
                <w:bCs/>
                <w:sz w:val="24"/>
                <w:szCs w:val="24"/>
              </w:rPr>
              <w:t>Legal Basis</w:t>
            </w:r>
          </w:p>
        </w:tc>
      </w:tr>
      <w:tr w:rsidR="004B6460" w14:paraId="145D702F" w14:textId="77777777" w:rsidTr="004B6460">
        <w:trPr>
          <w:trHeight w:val="30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A8D24E" w14:textId="77777777" w:rsidR="004B6460" w:rsidRDefault="004B6460">
            <w:pPr>
              <w:rPr>
                <w:rFonts w:ascii="Arial" w:eastAsia="Arial" w:hAnsi="Arial" w:cs="Arial"/>
                <w:color w:val="000000" w:themeColor="text1"/>
                <w:sz w:val="24"/>
                <w:szCs w:val="24"/>
              </w:rPr>
            </w:pPr>
            <w:r>
              <w:rPr>
                <w:rFonts w:ascii="Arial" w:eastAsia="Arial" w:hAnsi="Arial" w:cs="Arial"/>
                <w:b w:val="0"/>
                <w:bCs w:val="0"/>
                <w:color w:val="000000" w:themeColor="text1"/>
                <w:sz w:val="24"/>
                <w:szCs w:val="24"/>
              </w:rPr>
              <w:t>Your personal Information is including relevant medical conditions, physical activity and habits is shared by the practice using a secure referral system to enable you to access the NERS Service.</w:t>
            </w:r>
          </w:p>
        </w:tc>
        <w:tc>
          <w:tcPr>
            <w:tcW w:w="3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E98CF28" w14:textId="77777777" w:rsidR="004B6460" w:rsidRDefault="004B6460">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 xml:space="preserve">Public Health Wales and the relevant NERS Providers in your area which can include the Local Authority, Leisure centres/ Trusts and the Local Health Board, are data controllers once the referral is made. Referrals to this service will be made and information  </w:t>
            </w:r>
            <w:r>
              <w:rPr>
                <w:rFonts w:ascii="Arial" w:eastAsia="Arial" w:hAnsi="Arial" w:cs="Arial"/>
                <w:color w:val="000000" w:themeColor="text1"/>
                <w:sz w:val="24"/>
                <w:szCs w:val="24"/>
              </w:rPr>
              <w:lastRenderedPageBreak/>
              <w:t xml:space="preserve">shared using an Electronic referral process called “Thesus” operated by a data processor Cyber Media Solutions for further information please contact Public Health Wales privacy information in relation to this service can be found </w:t>
            </w:r>
            <w:hyperlink r:id="rId31" w:history="1">
              <w:r>
                <w:rPr>
                  <w:rStyle w:val="Hyperlink"/>
                  <w:highlight w:val="yellow"/>
                </w:rPr>
                <w:t>here</w:t>
              </w:r>
            </w:hyperlink>
          </w:p>
          <w:p w14:paraId="174FFCB0" w14:textId="77777777" w:rsidR="004B6460" w:rsidRDefault="004B64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729DA687" w14:textId="77777777" w:rsidR="004B6460" w:rsidRDefault="004B6460">
            <w:pPr>
              <w:spacing w:line="25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Article 6(1)(e) ‘….necessary for the performance of a task carried out in the public interest or in the exercise of official authority…’</w:t>
            </w:r>
          </w:p>
          <w:p w14:paraId="250A8AE5" w14:textId="77777777" w:rsidR="004B6460" w:rsidRDefault="004B6460">
            <w:pPr>
              <w:spacing w:line="25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p w14:paraId="207F44CA" w14:textId="77777777" w:rsidR="004B6460" w:rsidRDefault="004B6460">
            <w:pPr>
              <w:spacing w:line="25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D7ECBCE" w14:textId="77777777" w:rsidR="004B6460" w:rsidRDefault="004B64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473735F0" w14:textId="77777777" w:rsidR="004B6460" w:rsidRPr="004C6E80" w:rsidRDefault="004B6460" w:rsidP="00C121D0">
      <w:pPr>
        <w:rPr>
          <w:rFonts w:cstheme="minorHAns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3825"/>
        <w:gridCol w:w="7800"/>
      </w:tblGrid>
      <w:tr w:rsidR="00710B4E" w:rsidRPr="00A8350C" w14:paraId="074F14CA" w14:textId="77777777" w:rsidTr="00345BFF">
        <w:trPr>
          <w:trHeight w:val="300"/>
        </w:trPr>
        <w:tc>
          <w:tcPr>
            <w:tcW w:w="15150" w:type="dxa"/>
            <w:gridSpan w:val="3"/>
            <w:tcBorders>
              <w:top w:val="single" w:sz="6" w:space="0" w:color="325083"/>
              <w:left w:val="single" w:sz="6" w:space="0" w:color="325083"/>
              <w:bottom w:val="single" w:sz="6" w:space="0" w:color="325083"/>
              <w:right w:val="single" w:sz="6" w:space="0" w:color="325083"/>
            </w:tcBorders>
            <w:shd w:val="clear" w:color="auto" w:fill="21305E"/>
            <w:hideMark/>
          </w:tcPr>
          <w:p w14:paraId="20661562" w14:textId="2064B5C9" w:rsidR="00710B4E" w:rsidRPr="00A8350C" w:rsidRDefault="00710B4E" w:rsidP="00345BFF">
            <w:pPr>
              <w:rPr>
                <w:rFonts w:ascii="Rubik" w:eastAsia="Rubik" w:hAnsi="Rubik" w:cs="Rubik"/>
                <w:b/>
                <w:bCs/>
                <w:color w:val="FFFFFF" w:themeColor="background1"/>
                <w:sz w:val="24"/>
                <w:szCs w:val="24"/>
              </w:rPr>
            </w:pPr>
            <w:r w:rsidRPr="00A8350C">
              <w:rPr>
                <w:rFonts w:ascii="Rubik" w:eastAsia="Rubik" w:hAnsi="Rubik" w:cs="Rubik"/>
                <w:b/>
                <w:bCs/>
                <w:color w:val="FFFFFF" w:themeColor="background1"/>
                <w:sz w:val="24"/>
                <w:szCs w:val="24"/>
              </w:rPr>
              <w:t xml:space="preserve">Disclosure of Video Surveillance to the police – </w:t>
            </w:r>
            <w:r w:rsidRPr="00710B4E">
              <w:rPr>
                <w:rFonts w:ascii="Rubik" w:eastAsia="Rubik" w:hAnsi="Rubik" w:cs="Rubik"/>
                <w:b/>
                <w:bCs/>
                <w:color w:val="FFFFFF" w:themeColor="background1"/>
                <w:sz w:val="24"/>
                <w:szCs w:val="24"/>
              </w:rPr>
              <w:t>Mostyn House Medical Practice</w:t>
            </w:r>
            <w:r w:rsidRPr="00710B4E">
              <w:rPr>
                <w:rFonts w:ascii="Rubik" w:eastAsia="Rubik" w:hAnsi="Rubik" w:cs="Rubik"/>
                <w:b/>
                <w:bCs/>
                <w:color w:val="FFFFFF" w:themeColor="background1"/>
                <w:sz w:val="24"/>
                <w:szCs w:val="24"/>
              </w:rPr>
              <w:t xml:space="preserve"> </w:t>
            </w:r>
            <w:r w:rsidRPr="00A8350C">
              <w:rPr>
                <w:rFonts w:ascii="Rubik" w:eastAsia="Rubik" w:hAnsi="Rubik" w:cs="Rubik"/>
                <w:b/>
                <w:bCs/>
                <w:color w:val="FFFFFF" w:themeColor="background1"/>
                <w:sz w:val="24"/>
                <w:szCs w:val="24"/>
              </w:rPr>
              <w:t>may make voluntary disclosures of any form of video or audio surveillance for incidents that require police intervention to support ongoing investigations </w:t>
            </w:r>
          </w:p>
        </w:tc>
      </w:tr>
      <w:tr w:rsidR="00710B4E" w:rsidRPr="00A8350C" w14:paraId="15164A51" w14:textId="77777777" w:rsidTr="00345BFF">
        <w:trPr>
          <w:trHeight w:val="300"/>
        </w:trPr>
        <w:tc>
          <w:tcPr>
            <w:tcW w:w="3525" w:type="dxa"/>
            <w:tcBorders>
              <w:top w:val="single" w:sz="6" w:space="0" w:color="325083"/>
              <w:left w:val="single" w:sz="6" w:space="0" w:color="325083"/>
              <w:bottom w:val="single" w:sz="6" w:space="0" w:color="325083"/>
              <w:right w:val="single" w:sz="6" w:space="0" w:color="325083"/>
            </w:tcBorders>
            <w:shd w:val="clear" w:color="auto" w:fill="CFDAEC"/>
            <w:hideMark/>
          </w:tcPr>
          <w:p w14:paraId="7FDD4818" w14:textId="77777777" w:rsidR="00710B4E" w:rsidRPr="00A8350C" w:rsidRDefault="00710B4E" w:rsidP="00345BFF">
            <w:pPr>
              <w:rPr>
                <w:rFonts w:ascii="Rubik" w:eastAsia="Rubik" w:hAnsi="Rubik" w:cs="Rubik"/>
                <w:b/>
                <w:bCs/>
                <w:color w:val="002060"/>
                <w:sz w:val="24"/>
                <w:szCs w:val="24"/>
              </w:rPr>
            </w:pPr>
            <w:r w:rsidRPr="00A8350C">
              <w:rPr>
                <w:rFonts w:ascii="Rubik" w:eastAsia="Rubik" w:hAnsi="Rubik" w:cs="Rubik"/>
                <w:b/>
                <w:bCs/>
                <w:color w:val="002060"/>
                <w:sz w:val="24"/>
                <w:szCs w:val="24"/>
              </w:rPr>
              <w:t>Purpose of the Processing </w:t>
            </w:r>
          </w:p>
        </w:tc>
        <w:tc>
          <w:tcPr>
            <w:tcW w:w="3825" w:type="dxa"/>
            <w:tcBorders>
              <w:top w:val="single" w:sz="6" w:space="0" w:color="325083"/>
              <w:left w:val="single" w:sz="6" w:space="0" w:color="325083"/>
              <w:bottom w:val="single" w:sz="6" w:space="0" w:color="325083"/>
              <w:right w:val="single" w:sz="6" w:space="0" w:color="325083"/>
            </w:tcBorders>
            <w:shd w:val="clear" w:color="auto" w:fill="CFDAEC"/>
            <w:hideMark/>
          </w:tcPr>
          <w:p w14:paraId="6723C231"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b/>
                <w:bCs/>
                <w:color w:val="002060"/>
                <w:sz w:val="24"/>
                <w:szCs w:val="24"/>
              </w:rPr>
              <w:t>Recipients</w:t>
            </w:r>
            <w:r w:rsidRPr="00A8350C">
              <w:rPr>
                <w:rFonts w:ascii="Rubik" w:eastAsia="Rubik" w:hAnsi="Rubik" w:cs="Rubik"/>
                <w:color w:val="002060"/>
                <w:sz w:val="24"/>
                <w:szCs w:val="24"/>
              </w:rPr>
              <w:t> </w:t>
            </w:r>
          </w:p>
        </w:tc>
        <w:tc>
          <w:tcPr>
            <w:tcW w:w="7785" w:type="dxa"/>
            <w:tcBorders>
              <w:top w:val="single" w:sz="6" w:space="0" w:color="325083"/>
              <w:left w:val="single" w:sz="6" w:space="0" w:color="325083"/>
              <w:bottom w:val="single" w:sz="6" w:space="0" w:color="325083"/>
              <w:right w:val="single" w:sz="6" w:space="0" w:color="325083"/>
            </w:tcBorders>
            <w:shd w:val="clear" w:color="auto" w:fill="CFDAEC"/>
            <w:hideMark/>
          </w:tcPr>
          <w:p w14:paraId="61DDCD35"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b/>
                <w:bCs/>
                <w:color w:val="002060"/>
                <w:sz w:val="24"/>
                <w:szCs w:val="24"/>
              </w:rPr>
              <w:t>Legal Basis</w:t>
            </w:r>
            <w:r w:rsidRPr="00A8350C">
              <w:rPr>
                <w:rFonts w:ascii="Rubik" w:eastAsia="Rubik" w:hAnsi="Rubik" w:cs="Rubik"/>
                <w:color w:val="002060"/>
                <w:sz w:val="24"/>
                <w:szCs w:val="24"/>
              </w:rPr>
              <w:t> </w:t>
            </w:r>
          </w:p>
        </w:tc>
      </w:tr>
      <w:tr w:rsidR="00710B4E" w:rsidRPr="00A8350C" w14:paraId="49317055" w14:textId="77777777" w:rsidTr="00345BFF">
        <w:trPr>
          <w:trHeight w:val="300"/>
        </w:trPr>
        <w:tc>
          <w:tcPr>
            <w:tcW w:w="3525" w:type="dxa"/>
            <w:tcBorders>
              <w:top w:val="single" w:sz="6" w:space="0" w:color="325083"/>
              <w:left w:val="single" w:sz="6" w:space="0" w:color="325083"/>
              <w:bottom w:val="single" w:sz="6" w:space="0" w:color="325083"/>
              <w:right w:val="single" w:sz="6" w:space="0" w:color="325083"/>
            </w:tcBorders>
            <w:shd w:val="clear" w:color="auto" w:fill="auto"/>
            <w:hideMark/>
          </w:tcPr>
          <w:p w14:paraId="132DB3A9" w14:textId="77777777" w:rsidR="00710B4E" w:rsidRPr="00A8350C" w:rsidRDefault="00710B4E" w:rsidP="00345BFF">
            <w:pPr>
              <w:rPr>
                <w:rFonts w:ascii="Rubik" w:eastAsia="Rubik" w:hAnsi="Rubik" w:cs="Rubik"/>
                <w:b/>
                <w:bCs/>
                <w:color w:val="002060"/>
                <w:sz w:val="24"/>
                <w:szCs w:val="24"/>
              </w:rPr>
            </w:pPr>
            <w:r w:rsidRPr="00A8350C">
              <w:rPr>
                <w:rFonts w:ascii="Rubik" w:eastAsia="Rubik" w:hAnsi="Rubik" w:cs="Rubik"/>
                <w:b/>
                <w:bCs/>
                <w:color w:val="002060"/>
                <w:sz w:val="24"/>
                <w:szCs w:val="24"/>
              </w:rPr>
              <w:t>Where the purpose of the surveillance system is for the prevention and detection of crime, voluntary disclosure(s) of footage/images may be provided to the police, where there is a reporting of an incident to the police for investigation.  </w:t>
            </w:r>
          </w:p>
          <w:p w14:paraId="5B5210A4" w14:textId="77777777" w:rsidR="00710B4E" w:rsidRPr="00A8350C" w:rsidRDefault="00710B4E" w:rsidP="00345BFF">
            <w:pPr>
              <w:rPr>
                <w:rFonts w:ascii="Rubik" w:eastAsia="Rubik" w:hAnsi="Rubik" w:cs="Rubik"/>
                <w:b/>
                <w:bCs/>
                <w:color w:val="002060"/>
                <w:sz w:val="24"/>
                <w:szCs w:val="24"/>
              </w:rPr>
            </w:pPr>
            <w:r w:rsidRPr="00A8350C">
              <w:rPr>
                <w:rFonts w:ascii="Rubik" w:eastAsia="Rubik" w:hAnsi="Rubik" w:cs="Rubik"/>
                <w:b/>
                <w:bCs/>
                <w:color w:val="002060"/>
                <w:sz w:val="24"/>
                <w:szCs w:val="24"/>
              </w:rPr>
              <w:t> </w:t>
            </w:r>
          </w:p>
        </w:tc>
        <w:tc>
          <w:tcPr>
            <w:tcW w:w="3825" w:type="dxa"/>
            <w:tcBorders>
              <w:top w:val="single" w:sz="6" w:space="0" w:color="325083"/>
              <w:left w:val="single" w:sz="6" w:space="0" w:color="325083"/>
              <w:bottom w:val="single" w:sz="6" w:space="0" w:color="325083"/>
              <w:right w:val="single" w:sz="6" w:space="0" w:color="325083"/>
            </w:tcBorders>
            <w:shd w:val="clear" w:color="auto" w:fill="auto"/>
            <w:hideMark/>
          </w:tcPr>
          <w:p w14:paraId="765550E5"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color w:val="002060"/>
                <w:sz w:val="24"/>
                <w:szCs w:val="24"/>
              </w:rPr>
              <w:t>Police </w:t>
            </w:r>
          </w:p>
        </w:tc>
        <w:tc>
          <w:tcPr>
            <w:tcW w:w="7785" w:type="dxa"/>
            <w:tcBorders>
              <w:top w:val="single" w:sz="6" w:space="0" w:color="325083"/>
              <w:left w:val="single" w:sz="6" w:space="0" w:color="325083"/>
              <w:bottom w:val="single" w:sz="6" w:space="0" w:color="325083"/>
              <w:right w:val="single" w:sz="6" w:space="0" w:color="325083"/>
            </w:tcBorders>
            <w:shd w:val="clear" w:color="auto" w:fill="auto"/>
            <w:hideMark/>
          </w:tcPr>
          <w:p w14:paraId="420D61EB"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color w:val="002060"/>
                <w:sz w:val="24"/>
                <w:szCs w:val="24"/>
              </w:rPr>
              <w:t>Art 6(1)(e) ‘….necessary for the performance of a task carried out in the public interest or in the exercise of official authority…’ </w:t>
            </w:r>
          </w:p>
          <w:p w14:paraId="1672509C" w14:textId="77777777" w:rsidR="00710B4E" w:rsidRPr="00A8350C" w:rsidRDefault="00710B4E" w:rsidP="00345BFF">
            <w:pPr>
              <w:rPr>
                <w:rFonts w:ascii="Rubik" w:eastAsia="Rubik" w:hAnsi="Rubik" w:cs="Rubik"/>
                <w:color w:val="002060"/>
                <w:sz w:val="24"/>
                <w:szCs w:val="24"/>
              </w:rPr>
            </w:pPr>
            <w:r w:rsidRPr="00A8350C">
              <w:rPr>
                <w:rFonts w:ascii="Times New Roman" w:eastAsia="Rubik" w:hAnsi="Times New Roman" w:cs="Times New Roman"/>
                <w:color w:val="002060"/>
                <w:sz w:val="24"/>
                <w:szCs w:val="24"/>
              </w:rPr>
              <w:t> </w:t>
            </w:r>
            <w:r w:rsidRPr="00A8350C">
              <w:rPr>
                <w:rFonts w:ascii="Rubik" w:eastAsia="Rubik" w:hAnsi="Rubik" w:cs="Rubik"/>
                <w:color w:val="002060"/>
                <w:sz w:val="24"/>
                <w:szCs w:val="24"/>
              </w:rPr>
              <w:t> </w:t>
            </w:r>
          </w:p>
          <w:p w14:paraId="3A8B3B27"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color w:val="002060"/>
                <w:sz w:val="24"/>
                <w:szCs w:val="24"/>
              </w:rPr>
              <w:t>Art 9(2)(g) ‘…necessary for reasons of substantial public interests.’ </w:t>
            </w:r>
          </w:p>
          <w:p w14:paraId="0A690FC7"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color w:val="002060"/>
                <w:sz w:val="24"/>
                <w:szCs w:val="24"/>
              </w:rPr>
              <w:t> </w:t>
            </w:r>
          </w:p>
          <w:p w14:paraId="7B8EF924"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color w:val="002060"/>
                <w:sz w:val="24"/>
                <w:szCs w:val="24"/>
              </w:rPr>
              <w:t>Data Protection Act 2018, Schedule 2 (1)(a) the prevention or detection of crime and </w:t>
            </w:r>
          </w:p>
          <w:p w14:paraId="36F8CE98"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color w:val="002060"/>
                <w:sz w:val="24"/>
                <w:szCs w:val="24"/>
              </w:rPr>
              <w:t>Data Protection Act 2018 - Schedule 2 (1)(b) the apprehension or prosecution of offenders </w:t>
            </w:r>
          </w:p>
          <w:p w14:paraId="021A6215" w14:textId="77777777" w:rsidR="00710B4E" w:rsidRPr="00A8350C" w:rsidRDefault="00710B4E" w:rsidP="00345BFF">
            <w:pPr>
              <w:rPr>
                <w:rFonts w:ascii="Rubik" w:eastAsia="Rubik" w:hAnsi="Rubik" w:cs="Rubik"/>
                <w:color w:val="002060"/>
                <w:sz w:val="24"/>
                <w:szCs w:val="24"/>
              </w:rPr>
            </w:pPr>
            <w:r w:rsidRPr="00A8350C">
              <w:rPr>
                <w:rFonts w:ascii="Rubik" w:eastAsia="Rubik" w:hAnsi="Rubik" w:cs="Rubik"/>
                <w:color w:val="002060"/>
                <w:sz w:val="24"/>
                <w:szCs w:val="24"/>
              </w:rPr>
              <w:t> </w:t>
            </w:r>
          </w:p>
        </w:tc>
      </w:tr>
    </w:tbl>
    <w:p w14:paraId="08AF4946" w14:textId="77777777" w:rsidR="00710B4E" w:rsidRPr="00703D62" w:rsidRDefault="00710B4E" w:rsidP="00710B4E">
      <w:pPr>
        <w:rPr>
          <w:rFonts w:ascii="Rubik" w:eastAsia="Rubik" w:hAnsi="Rubik" w:cs="Rubik"/>
          <w:color w:val="002060"/>
          <w:sz w:val="24"/>
          <w:szCs w:val="24"/>
        </w:rPr>
      </w:pPr>
    </w:p>
    <w:p w14:paraId="479AA51F" w14:textId="77777777" w:rsidR="00710B4E" w:rsidRDefault="00710B4E" w:rsidP="00710B4E">
      <w:pPr>
        <w:rPr>
          <w:rFonts w:ascii="Rubik" w:hAnsi="Rubik" w:cs="Rubik"/>
          <w:color w:val="002060"/>
          <w:sz w:val="24"/>
          <w:szCs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525"/>
        <w:gridCol w:w="3825"/>
        <w:gridCol w:w="7800"/>
      </w:tblGrid>
      <w:tr w:rsidR="00710B4E" w14:paraId="09150086" w14:textId="77777777" w:rsidTr="00345BFF">
        <w:trPr>
          <w:trHeight w:val="300"/>
        </w:trPr>
        <w:tc>
          <w:tcPr>
            <w:tcW w:w="15150" w:type="dxa"/>
            <w:gridSpan w:val="3"/>
            <w:tcBorders>
              <w:top w:val="single" w:sz="6" w:space="0" w:color="325083"/>
              <w:left w:val="single" w:sz="6" w:space="0" w:color="325083"/>
              <w:bottom w:val="single" w:sz="6" w:space="0" w:color="325083"/>
              <w:right w:val="single" w:sz="6" w:space="0" w:color="325083"/>
            </w:tcBorders>
            <w:shd w:val="clear" w:color="auto" w:fill="21305E"/>
          </w:tcPr>
          <w:p w14:paraId="12BD73ED" w14:textId="239B0404" w:rsidR="00710B4E" w:rsidRDefault="00710B4E" w:rsidP="00345BFF">
            <w:pPr>
              <w:rPr>
                <w:rFonts w:ascii="Rubik" w:eastAsia="Rubik" w:hAnsi="Rubik" w:cs="Rubik"/>
                <w:b/>
                <w:bCs/>
                <w:color w:val="FFFFFF" w:themeColor="background1"/>
                <w:sz w:val="24"/>
                <w:szCs w:val="24"/>
              </w:rPr>
            </w:pPr>
            <w:r w:rsidRPr="64C1417A">
              <w:rPr>
                <w:rFonts w:ascii="Rubik" w:eastAsia="Rubik" w:hAnsi="Rubik" w:cs="Rubik"/>
                <w:b/>
                <w:bCs/>
                <w:color w:val="FFFFFF" w:themeColor="background1"/>
                <w:sz w:val="24"/>
                <w:szCs w:val="24"/>
              </w:rPr>
              <w:lastRenderedPageBreak/>
              <w:t>Sharing of patient details for Children Missing in Education (CME) database</w:t>
            </w:r>
            <w:r>
              <w:rPr>
                <w:rFonts w:ascii="Rubik" w:eastAsia="Rubik" w:hAnsi="Rubik" w:cs="Rubik"/>
                <w:b/>
                <w:bCs/>
                <w:color w:val="FFFFFF" w:themeColor="background1"/>
                <w:sz w:val="24"/>
                <w:szCs w:val="24"/>
              </w:rPr>
              <w:t xml:space="preserve"> – Mostyn House Medical Practice </w:t>
            </w:r>
            <w:r w:rsidRPr="64C1417A">
              <w:rPr>
                <w:rFonts w:ascii="Rubik" w:eastAsia="Rubik" w:hAnsi="Rubik" w:cs="Rubik"/>
                <w:b/>
                <w:bCs/>
                <w:color w:val="FFFFFF" w:themeColor="background1"/>
                <w:sz w:val="24"/>
                <w:szCs w:val="24"/>
              </w:rPr>
              <w:t xml:space="preserve">is required to share demographic data for enabling local authorities to identify children who are not receiving education at school </w:t>
            </w:r>
          </w:p>
        </w:tc>
      </w:tr>
      <w:tr w:rsidR="00710B4E" w14:paraId="0D1B2975" w14:textId="77777777" w:rsidTr="00345BFF">
        <w:trPr>
          <w:trHeight w:val="300"/>
        </w:trPr>
        <w:tc>
          <w:tcPr>
            <w:tcW w:w="3525" w:type="dxa"/>
            <w:tcBorders>
              <w:top w:val="single" w:sz="6" w:space="0" w:color="325083"/>
              <w:left w:val="single" w:sz="6" w:space="0" w:color="325083"/>
              <w:bottom w:val="single" w:sz="6" w:space="0" w:color="325083"/>
              <w:right w:val="single" w:sz="6" w:space="0" w:color="325083"/>
            </w:tcBorders>
            <w:shd w:val="clear" w:color="auto" w:fill="CFDAEC"/>
          </w:tcPr>
          <w:p w14:paraId="05C1DBB7" w14:textId="77777777" w:rsidR="00710B4E" w:rsidRDefault="00710B4E" w:rsidP="00345BFF">
            <w:pPr>
              <w:rPr>
                <w:rFonts w:ascii="Rubik" w:eastAsia="Rubik" w:hAnsi="Rubik" w:cs="Rubik"/>
                <w:b/>
                <w:bCs/>
                <w:color w:val="002060"/>
                <w:sz w:val="24"/>
                <w:szCs w:val="24"/>
              </w:rPr>
            </w:pPr>
            <w:r w:rsidRPr="64C1417A">
              <w:rPr>
                <w:rFonts w:ascii="Rubik" w:eastAsia="Rubik" w:hAnsi="Rubik" w:cs="Rubik"/>
                <w:b/>
                <w:bCs/>
                <w:color w:val="002060"/>
                <w:sz w:val="24"/>
                <w:szCs w:val="24"/>
              </w:rPr>
              <w:t>Purpose of the Processing </w:t>
            </w:r>
          </w:p>
        </w:tc>
        <w:tc>
          <w:tcPr>
            <w:tcW w:w="3825" w:type="dxa"/>
            <w:tcBorders>
              <w:top w:val="single" w:sz="6" w:space="0" w:color="325083"/>
              <w:left w:val="single" w:sz="6" w:space="0" w:color="325083"/>
              <w:bottom w:val="single" w:sz="6" w:space="0" w:color="325083"/>
              <w:right w:val="single" w:sz="6" w:space="0" w:color="325083"/>
            </w:tcBorders>
            <w:shd w:val="clear" w:color="auto" w:fill="CFDAEC"/>
          </w:tcPr>
          <w:p w14:paraId="7916B672" w14:textId="77777777" w:rsidR="00710B4E" w:rsidRDefault="00710B4E" w:rsidP="00345BFF">
            <w:pPr>
              <w:rPr>
                <w:rFonts w:ascii="Rubik" w:eastAsia="Rubik" w:hAnsi="Rubik" w:cs="Rubik"/>
                <w:color w:val="002060"/>
                <w:sz w:val="24"/>
                <w:szCs w:val="24"/>
              </w:rPr>
            </w:pPr>
            <w:r w:rsidRPr="64C1417A">
              <w:rPr>
                <w:rFonts w:ascii="Rubik" w:eastAsia="Rubik" w:hAnsi="Rubik" w:cs="Rubik"/>
                <w:b/>
                <w:bCs/>
                <w:color w:val="002060"/>
                <w:sz w:val="24"/>
                <w:szCs w:val="24"/>
              </w:rPr>
              <w:t>Recipients</w:t>
            </w:r>
            <w:r w:rsidRPr="64C1417A">
              <w:rPr>
                <w:rFonts w:ascii="Rubik" w:eastAsia="Rubik" w:hAnsi="Rubik" w:cs="Rubik"/>
                <w:color w:val="002060"/>
                <w:sz w:val="24"/>
                <w:szCs w:val="24"/>
              </w:rPr>
              <w:t> </w:t>
            </w:r>
          </w:p>
        </w:tc>
        <w:tc>
          <w:tcPr>
            <w:tcW w:w="7800" w:type="dxa"/>
            <w:tcBorders>
              <w:top w:val="single" w:sz="6" w:space="0" w:color="325083"/>
              <w:left w:val="single" w:sz="6" w:space="0" w:color="325083"/>
              <w:bottom w:val="single" w:sz="6" w:space="0" w:color="325083"/>
              <w:right w:val="single" w:sz="6" w:space="0" w:color="325083"/>
            </w:tcBorders>
            <w:shd w:val="clear" w:color="auto" w:fill="CFDAEC"/>
          </w:tcPr>
          <w:p w14:paraId="776231BD" w14:textId="77777777" w:rsidR="00710B4E" w:rsidRDefault="00710B4E" w:rsidP="00345BFF">
            <w:pPr>
              <w:rPr>
                <w:rFonts w:ascii="Rubik" w:eastAsia="Rubik" w:hAnsi="Rubik" w:cs="Rubik"/>
                <w:color w:val="002060"/>
                <w:sz w:val="24"/>
                <w:szCs w:val="24"/>
              </w:rPr>
            </w:pPr>
            <w:r w:rsidRPr="64C1417A">
              <w:rPr>
                <w:rFonts w:ascii="Rubik" w:eastAsia="Rubik" w:hAnsi="Rubik" w:cs="Rubik"/>
                <w:b/>
                <w:bCs/>
                <w:color w:val="002060"/>
                <w:sz w:val="24"/>
                <w:szCs w:val="24"/>
              </w:rPr>
              <w:t>Legal Basis</w:t>
            </w:r>
            <w:r w:rsidRPr="64C1417A">
              <w:rPr>
                <w:rFonts w:ascii="Rubik" w:eastAsia="Rubik" w:hAnsi="Rubik" w:cs="Rubik"/>
                <w:color w:val="002060"/>
                <w:sz w:val="24"/>
                <w:szCs w:val="24"/>
              </w:rPr>
              <w:t> </w:t>
            </w:r>
          </w:p>
        </w:tc>
      </w:tr>
      <w:tr w:rsidR="00710B4E" w14:paraId="6D99EA58" w14:textId="77777777" w:rsidTr="00345BFF">
        <w:trPr>
          <w:trHeight w:val="300"/>
        </w:trPr>
        <w:tc>
          <w:tcPr>
            <w:tcW w:w="3525" w:type="dxa"/>
            <w:tcBorders>
              <w:top w:val="single" w:sz="6" w:space="0" w:color="325083"/>
              <w:left w:val="single" w:sz="6" w:space="0" w:color="325083"/>
              <w:bottom w:val="single" w:sz="6" w:space="0" w:color="325083"/>
              <w:right w:val="single" w:sz="6" w:space="0" w:color="325083"/>
            </w:tcBorders>
            <w:shd w:val="clear" w:color="auto" w:fill="auto"/>
          </w:tcPr>
          <w:p w14:paraId="6612227A" w14:textId="77777777" w:rsidR="00710B4E" w:rsidRDefault="00710B4E" w:rsidP="00345BFF">
            <w:pPr>
              <w:rPr>
                <w:rFonts w:ascii="Rubik" w:eastAsia="Rubik" w:hAnsi="Rubik" w:cs="Rubik"/>
                <w:b/>
                <w:bCs/>
                <w:color w:val="002060"/>
                <w:sz w:val="24"/>
                <w:szCs w:val="24"/>
              </w:rPr>
            </w:pPr>
            <w:r w:rsidRPr="64C1417A">
              <w:rPr>
                <w:rFonts w:ascii="Rubik" w:eastAsia="Rubik" w:hAnsi="Rubik" w:cs="Rubik"/>
                <w:b/>
                <w:bCs/>
                <w:color w:val="002060"/>
                <w:sz w:val="24"/>
                <w:szCs w:val="24"/>
              </w:rPr>
              <w:t xml:space="preserve">Where the purpose of sharing is to comply with the Statutory Instrument issued under Section 66(3) of the Children’s Act 2004 where it mandates certain local authorities as pilot council areas to establish and operate a Children Missing in Education (CME) database </w:t>
            </w:r>
          </w:p>
          <w:p w14:paraId="60C18C44" w14:textId="77777777" w:rsidR="00710B4E" w:rsidRDefault="00710B4E" w:rsidP="00345BFF">
            <w:pPr>
              <w:rPr>
                <w:rFonts w:ascii="Rubik" w:eastAsia="Rubik" w:hAnsi="Rubik" w:cs="Rubik"/>
                <w:b/>
                <w:bCs/>
                <w:color w:val="002060"/>
                <w:sz w:val="24"/>
                <w:szCs w:val="24"/>
              </w:rPr>
            </w:pPr>
            <w:r w:rsidRPr="64C1417A">
              <w:rPr>
                <w:rFonts w:ascii="Rubik" w:eastAsia="Rubik" w:hAnsi="Rubik" w:cs="Rubik"/>
                <w:b/>
                <w:bCs/>
                <w:color w:val="002060"/>
                <w:sz w:val="24"/>
                <w:szCs w:val="24"/>
              </w:rPr>
              <w:t> </w:t>
            </w:r>
          </w:p>
        </w:tc>
        <w:tc>
          <w:tcPr>
            <w:tcW w:w="3825" w:type="dxa"/>
            <w:tcBorders>
              <w:top w:val="single" w:sz="6" w:space="0" w:color="325083"/>
              <w:left w:val="single" w:sz="6" w:space="0" w:color="325083"/>
              <w:bottom w:val="single" w:sz="6" w:space="0" w:color="325083"/>
              <w:right w:val="single" w:sz="6" w:space="0" w:color="325083"/>
            </w:tcBorders>
            <w:shd w:val="clear" w:color="auto" w:fill="auto"/>
          </w:tcPr>
          <w:p w14:paraId="7C2F06C2" w14:textId="77777777" w:rsidR="00710B4E" w:rsidRDefault="00710B4E" w:rsidP="00345BFF">
            <w:pPr>
              <w:rPr>
                <w:rFonts w:ascii="Rubik" w:eastAsia="Rubik" w:hAnsi="Rubik" w:cs="Rubik"/>
                <w:color w:val="002060"/>
                <w:sz w:val="24"/>
                <w:szCs w:val="24"/>
              </w:rPr>
            </w:pPr>
            <w:r w:rsidRPr="64C1417A">
              <w:rPr>
                <w:rFonts w:ascii="Rubik" w:eastAsia="Rubik" w:hAnsi="Rubik" w:cs="Rubik"/>
                <w:color w:val="002060"/>
                <w:sz w:val="24"/>
                <w:szCs w:val="24"/>
              </w:rPr>
              <w:t xml:space="preserve">Local Authorities within the pilot council areas - </w:t>
            </w:r>
          </w:p>
          <w:p w14:paraId="33233C8F" w14:textId="77777777" w:rsidR="00710B4E" w:rsidRDefault="00710B4E" w:rsidP="00710B4E">
            <w:pPr>
              <w:pStyle w:val="ListParagraph"/>
              <w:numPr>
                <w:ilvl w:val="0"/>
                <w:numId w:val="10"/>
              </w:numPr>
              <w:rPr>
                <w:rFonts w:ascii="Rubik" w:eastAsia="Rubik" w:hAnsi="Rubik" w:cs="Rubik"/>
                <w:color w:val="002060"/>
              </w:rPr>
            </w:pPr>
            <w:r w:rsidRPr="64C1417A">
              <w:rPr>
                <w:rFonts w:ascii="Rubik" w:eastAsia="Rubik" w:hAnsi="Rubik" w:cs="Rubik"/>
                <w:color w:val="002060"/>
                <w:sz w:val="24"/>
                <w:szCs w:val="24"/>
              </w:rPr>
              <w:t>Cardiff County Council</w:t>
            </w:r>
          </w:p>
          <w:p w14:paraId="69D70BFE" w14:textId="77777777" w:rsidR="00710B4E" w:rsidRDefault="00710B4E" w:rsidP="00710B4E">
            <w:pPr>
              <w:pStyle w:val="ListParagraph"/>
              <w:numPr>
                <w:ilvl w:val="0"/>
                <w:numId w:val="10"/>
              </w:numPr>
              <w:rPr>
                <w:rFonts w:ascii="Rubik" w:eastAsia="Rubik" w:hAnsi="Rubik" w:cs="Rubik"/>
                <w:color w:val="002060"/>
              </w:rPr>
            </w:pPr>
            <w:r w:rsidRPr="64C1417A">
              <w:rPr>
                <w:rFonts w:ascii="Rubik" w:eastAsia="Rubik" w:hAnsi="Rubik" w:cs="Rubik"/>
                <w:color w:val="002060"/>
                <w:sz w:val="24"/>
                <w:szCs w:val="24"/>
              </w:rPr>
              <w:t xml:space="preserve">Carmarthenshire County Council </w:t>
            </w:r>
          </w:p>
          <w:p w14:paraId="79F40B80" w14:textId="77777777" w:rsidR="00710B4E" w:rsidRDefault="00710B4E" w:rsidP="00710B4E">
            <w:pPr>
              <w:pStyle w:val="ListParagraph"/>
              <w:numPr>
                <w:ilvl w:val="0"/>
                <w:numId w:val="10"/>
              </w:numPr>
              <w:rPr>
                <w:rFonts w:ascii="Rubik" w:eastAsia="Rubik" w:hAnsi="Rubik" w:cs="Rubik"/>
                <w:color w:val="002060"/>
              </w:rPr>
            </w:pPr>
            <w:r w:rsidRPr="64C1417A">
              <w:rPr>
                <w:rFonts w:ascii="Rubik" w:eastAsia="Rubik" w:hAnsi="Rubik" w:cs="Rubik"/>
                <w:color w:val="002060"/>
                <w:sz w:val="24"/>
                <w:szCs w:val="24"/>
              </w:rPr>
              <w:t xml:space="preserve">Gwynedd County Council </w:t>
            </w:r>
          </w:p>
          <w:p w14:paraId="226A33D9" w14:textId="77777777" w:rsidR="00710B4E" w:rsidRDefault="00710B4E" w:rsidP="00710B4E">
            <w:pPr>
              <w:pStyle w:val="ListParagraph"/>
              <w:numPr>
                <w:ilvl w:val="0"/>
                <w:numId w:val="10"/>
              </w:numPr>
              <w:rPr>
                <w:rFonts w:ascii="Rubik" w:eastAsia="Rubik" w:hAnsi="Rubik" w:cs="Rubik"/>
                <w:color w:val="002060"/>
              </w:rPr>
            </w:pPr>
            <w:r w:rsidRPr="64C1417A">
              <w:rPr>
                <w:rFonts w:ascii="Rubik" w:eastAsia="Rubik" w:hAnsi="Rubik" w:cs="Rubik"/>
                <w:color w:val="002060"/>
                <w:sz w:val="24"/>
                <w:szCs w:val="24"/>
              </w:rPr>
              <w:t xml:space="preserve">Isle of Anglesey County Council </w:t>
            </w:r>
          </w:p>
          <w:p w14:paraId="5F53D988" w14:textId="77777777" w:rsidR="00710B4E" w:rsidRDefault="00710B4E" w:rsidP="00710B4E">
            <w:pPr>
              <w:pStyle w:val="ListParagraph"/>
              <w:numPr>
                <w:ilvl w:val="0"/>
                <w:numId w:val="10"/>
              </w:numPr>
              <w:rPr>
                <w:rFonts w:ascii="Rubik" w:eastAsia="Rubik" w:hAnsi="Rubik" w:cs="Rubik"/>
                <w:color w:val="002060"/>
              </w:rPr>
            </w:pPr>
            <w:r w:rsidRPr="64C1417A">
              <w:rPr>
                <w:rFonts w:ascii="Rubik" w:eastAsia="Rubik" w:hAnsi="Rubik" w:cs="Rubik"/>
                <w:color w:val="002060"/>
                <w:sz w:val="24"/>
                <w:szCs w:val="24"/>
              </w:rPr>
              <w:t xml:space="preserve">Monmouthshire County Council </w:t>
            </w:r>
          </w:p>
          <w:p w14:paraId="2ECD1E1C" w14:textId="77777777" w:rsidR="00710B4E" w:rsidRDefault="00710B4E" w:rsidP="00710B4E">
            <w:pPr>
              <w:pStyle w:val="ListParagraph"/>
              <w:numPr>
                <w:ilvl w:val="0"/>
                <w:numId w:val="10"/>
              </w:numPr>
              <w:rPr>
                <w:rFonts w:ascii="Rubik" w:eastAsia="Rubik" w:hAnsi="Rubik" w:cs="Rubik"/>
                <w:color w:val="002060"/>
              </w:rPr>
            </w:pPr>
            <w:r w:rsidRPr="64C1417A">
              <w:rPr>
                <w:rFonts w:ascii="Rubik" w:eastAsia="Rubik" w:hAnsi="Rubik" w:cs="Rubik"/>
                <w:color w:val="002060"/>
                <w:sz w:val="24"/>
                <w:szCs w:val="24"/>
              </w:rPr>
              <w:t xml:space="preserve">Powys County Council </w:t>
            </w:r>
          </w:p>
          <w:p w14:paraId="0E08DAA3" w14:textId="77777777" w:rsidR="00710B4E" w:rsidRDefault="00710B4E" w:rsidP="00710B4E">
            <w:pPr>
              <w:pStyle w:val="ListParagraph"/>
              <w:numPr>
                <w:ilvl w:val="0"/>
                <w:numId w:val="10"/>
              </w:numPr>
              <w:rPr>
                <w:rFonts w:ascii="Rubik" w:eastAsia="Rubik" w:hAnsi="Rubik" w:cs="Rubik"/>
                <w:color w:val="002060"/>
              </w:rPr>
            </w:pPr>
            <w:r w:rsidRPr="64C1417A">
              <w:rPr>
                <w:rFonts w:ascii="Rubik" w:eastAsia="Rubik" w:hAnsi="Rubik" w:cs="Rubik"/>
                <w:color w:val="002060"/>
                <w:sz w:val="24"/>
                <w:szCs w:val="24"/>
              </w:rPr>
              <w:t>Rhondda, Cynon, Taff County Borough Council</w:t>
            </w:r>
          </w:p>
          <w:p w14:paraId="04B8571E" w14:textId="77777777" w:rsidR="00710B4E" w:rsidRDefault="00710B4E" w:rsidP="00345BFF">
            <w:pPr>
              <w:rPr>
                <w:rFonts w:ascii="Rubik" w:eastAsia="Rubik" w:hAnsi="Rubik" w:cs="Rubik"/>
                <w:color w:val="002060"/>
                <w:sz w:val="24"/>
                <w:szCs w:val="24"/>
              </w:rPr>
            </w:pPr>
          </w:p>
        </w:tc>
        <w:tc>
          <w:tcPr>
            <w:tcW w:w="7800" w:type="dxa"/>
            <w:tcBorders>
              <w:top w:val="single" w:sz="6" w:space="0" w:color="325083"/>
              <w:left w:val="single" w:sz="6" w:space="0" w:color="325083"/>
              <w:bottom w:val="single" w:sz="6" w:space="0" w:color="325083"/>
              <w:right w:val="single" w:sz="6" w:space="0" w:color="325083"/>
            </w:tcBorders>
            <w:shd w:val="clear" w:color="auto" w:fill="auto"/>
          </w:tcPr>
          <w:p w14:paraId="2EF2BA58" w14:textId="77777777" w:rsidR="00710B4E" w:rsidRDefault="00710B4E" w:rsidP="00345BFF">
            <w:pPr>
              <w:rPr>
                <w:rFonts w:ascii="Rubik" w:eastAsia="Arial" w:hAnsi="Rubik" w:cs="Rubik"/>
                <w:color w:val="002060"/>
              </w:rPr>
            </w:pPr>
            <w:r w:rsidRPr="64C1417A">
              <w:rPr>
                <w:rFonts w:ascii="Rubik" w:eastAsia="Rubik" w:hAnsi="Rubik" w:cs="Rubik"/>
                <w:color w:val="002060"/>
                <w:sz w:val="24"/>
                <w:szCs w:val="24"/>
              </w:rPr>
              <w:t> </w:t>
            </w:r>
            <w:r w:rsidRPr="64C1417A">
              <w:rPr>
                <w:rFonts w:ascii="Rubik" w:eastAsia="Arial" w:hAnsi="Rubik" w:cs="Rubik"/>
                <w:color w:val="002060"/>
              </w:rPr>
              <w:t>Article 6(1)(e) ‘….necessary for the performance of a task carried out in the public interest or in the exercise of official authority…’</w:t>
            </w:r>
          </w:p>
          <w:p w14:paraId="30E38E66" w14:textId="77777777" w:rsidR="00710B4E" w:rsidRDefault="00710B4E" w:rsidP="00345BFF">
            <w:pPr>
              <w:jc w:val="both"/>
              <w:rPr>
                <w:rFonts w:ascii="Rubik" w:eastAsia="Rubik" w:hAnsi="Rubik" w:cs="Rubik"/>
                <w:b/>
                <w:bCs/>
                <w:color w:val="002060"/>
              </w:rPr>
            </w:pPr>
            <w:r w:rsidRPr="64C1417A">
              <w:rPr>
                <w:rFonts w:ascii="Rubik" w:eastAsia="Rubik" w:hAnsi="Rubik" w:cs="Rubik"/>
                <w:b/>
                <w:bCs/>
                <w:color w:val="002060"/>
              </w:rPr>
              <w:t>and/or</w:t>
            </w:r>
          </w:p>
          <w:p w14:paraId="24DA9D06" w14:textId="77777777" w:rsidR="00710B4E" w:rsidRDefault="00710B4E" w:rsidP="00345BFF">
            <w:pPr>
              <w:rPr>
                <w:rFonts w:ascii="Rubik" w:eastAsia="Arial" w:hAnsi="Rubik" w:cs="Rubik"/>
                <w:color w:val="002060"/>
              </w:rPr>
            </w:pPr>
            <w:r w:rsidRPr="64C1417A">
              <w:rPr>
                <w:rFonts w:ascii="Rubik" w:eastAsia="Arial" w:hAnsi="Rubik" w:cs="Rubik"/>
                <w:color w:val="002060"/>
              </w:rPr>
              <w:t>Article 6(1)(c)....... Legal obligation: the processing is necessary for you to comply with the law (not including contractual obligations).</w:t>
            </w:r>
          </w:p>
          <w:p w14:paraId="71C6AAF8" w14:textId="77777777" w:rsidR="00710B4E" w:rsidRDefault="00710B4E" w:rsidP="00345BFF">
            <w:pPr>
              <w:rPr>
                <w:rFonts w:ascii="Rubik" w:eastAsia="Arial" w:hAnsi="Rubik" w:cs="Rubik"/>
                <w:color w:val="002060"/>
              </w:rPr>
            </w:pPr>
            <w:hyperlink r:id="rId32" w:history="1">
              <w:r w:rsidRPr="00386D01">
                <w:rPr>
                  <w:rStyle w:val="Hyperlink"/>
                  <w:rFonts w:ascii="Rubik" w:eastAsia="Arial" w:hAnsi="Rubik" w:cs="Rubik"/>
                </w:rPr>
                <w:t>Statutory Instrument issued under Section 66(3) of the Children’s Act 2004</w:t>
              </w:r>
            </w:hyperlink>
          </w:p>
        </w:tc>
      </w:tr>
    </w:tbl>
    <w:p w14:paraId="44C034B8" w14:textId="77777777" w:rsidR="00710B4E" w:rsidRDefault="00710B4E" w:rsidP="00710B4E">
      <w:pPr>
        <w:rPr>
          <w:rFonts w:ascii="Rubik" w:hAnsi="Rubik" w:cs="Rubik"/>
          <w:color w:val="002060"/>
          <w:sz w:val="24"/>
          <w:szCs w:val="24"/>
        </w:rPr>
      </w:pPr>
    </w:p>
    <w:p w14:paraId="1CB34F56" w14:textId="77777777" w:rsidR="00710B4E" w:rsidRDefault="00710B4E" w:rsidP="00710B4E">
      <w:pPr>
        <w:rPr>
          <w:rFonts w:ascii="Rubik" w:hAnsi="Rubik" w:cs="Rubik"/>
          <w:color w:val="00206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115"/>
        <w:gridCol w:w="5145"/>
      </w:tblGrid>
      <w:tr w:rsidR="00710B4E" w:rsidRPr="00B06523" w14:paraId="1DCDA73F" w14:textId="77777777" w:rsidTr="00345BFF">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002060"/>
            <w:hideMark/>
          </w:tcPr>
          <w:p w14:paraId="25F75D93" w14:textId="05D09088" w:rsidR="00710B4E" w:rsidRPr="00B06523" w:rsidRDefault="00710B4E" w:rsidP="00345BFF">
            <w:pPr>
              <w:spacing w:line="257" w:lineRule="auto"/>
              <w:ind w:left="113"/>
              <w:rPr>
                <w:rFonts w:ascii="Rubik" w:hAnsi="Rubik" w:cs="Rubik"/>
                <w:b/>
                <w:bCs/>
                <w:color w:val="FFFFFF" w:themeColor="background1"/>
                <w:sz w:val="24"/>
                <w:szCs w:val="24"/>
              </w:rPr>
            </w:pPr>
            <w:r w:rsidRPr="00B06523">
              <w:rPr>
                <w:rFonts w:ascii="Rubik" w:hAnsi="Rubik" w:cs="Rubik"/>
                <w:b/>
                <w:bCs/>
                <w:color w:val="FFFFFF" w:themeColor="background1"/>
                <w:sz w:val="24"/>
                <w:szCs w:val="24"/>
              </w:rPr>
              <w:t xml:space="preserve">Flu Vaccination Programme 2025/2026 – </w:t>
            </w:r>
            <w:r>
              <w:rPr>
                <w:rFonts w:ascii="Rubik" w:hAnsi="Rubik" w:cs="Rubik"/>
                <w:b/>
                <w:bCs/>
                <w:color w:val="FFFFFF" w:themeColor="background1"/>
                <w:sz w:val="24"/>
                <w:szCs w:val="24"/>
              </w:rPr>
              <w:t>Mostyn House Medical Practice</w:t>
            </w:r>
            <w:r w:rsidRPr="00B06523">
              <w:rPr>
                <w:rFonts w:ascii="Rubik" w:hAnsi="Rubik" w:cs="Rubik"/>
                <w:b/>
                <w:bCs/>
                <w:color w:val="EE0000"/>
                <w:sz w:val="24"/>
                <w:szCs w:val="24"/>
              </w:rPr>
              <w:t xml:space="preserve"> </w:t>
            </w:r>
            <w:r w:rsidRPr="00B06523">
              <w:rPr>
                <w:rFonts w:ascii="Rubik" w:hAnsi="Rubik" w:cs="Rubik"/>
                <w:b/>
                <w:bCs/>
                <w:color w:val="FFFFFF" w:themeColor="background1"/>
                <w:sz w:val="24"/>
                <w:szCs w:val="24"/>
              </w:rPr>
              <w:t>is required to disclose confidential patient information that is relevant for the delivery of the flu vaccination programme.  </w:t>
            </w:r>
          </w:p>
        </w:tc>
      </w:tr>
      <w:tr w:rsidR="00710B4E" w:rsidRPr="00B06523" w14:paraId="625C766D" w14:textId="77777777" w:rsidTr="00345BFF">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D9E2F3"/>
            <w:hideMark/>
          </w:tcPr>
          <w:p w14:paraId="7595E35E" w14:textId="77777777" w:rsidR="00710B4E" w:rsidRPr="00B06523" w:rsidRDefault="00710B4E" w:rsidP="00345BFF">
            <w:pPr>
              <w:spacing w:line="257" w:lineRule="auto"/>
              <w:ind w:left="113"/>
              <w:rPr>
                <w:rFonts w:ascii="Rubik" w:hAnsi="Rubik" w:cs="Rubik"/>
                <w:b/>
                <w:bCs/>
                <w:color w:val="002060"/>
                <w:sz w:val="24"/>
                <w:szCs w:val="24"/>
              </w:rPr>
            </w:pPr>
            <w:r w:rsidRPr="00B06523">
              <w:rPr>
                <w:rFonts w:ascii="Rubik" w:hAnsi="Rubik" w:cs="Rubik"/>
                <w:b/>
                <w:bCs/>
                <w:color w:val="002060"/>
                <w:sz w:val="24"/>
                <w:szCs w:val="24"/>
              </w:rPr>
              <w:t>Purpose of the Processing </w:t>
            </w:r>
          </w:p>
        </w:tc>
        <w:tc>
          <w:tcPr>
            <w:tcW w:w="5115" w:type="dxa"/>
            <w:tcBorders>
              <w:top w:val="single" w:sz="6" w:space="0" w:color="auto"/>
              <w:left w:val="single" w:sz="6" w:space="0" w:color="auto"/>
              <w:bottom w:val="single" w:sz="6" w:space="0" w:color="auto"/>
              <w:right w:val="single" w:sz="6" w:space="0" w:color="auto"/>
            </w:tcBorders>
            <w:shd w:val="clear" w:color="auto" w:fill="D9E2F3"/>
            <w:hideMark/>
          </w:tcPr>
          <w:p w14:paraId="124071EE" w14:textId="77777777" w:rsidR="00710B4E" w:rsidRPr="00B06523" w:rsidRDefault="00710B4E" w:rsidP="00345BFF">
            <w:pPr>
              <w:spacing w:line="257" w:lineRule="auto"/>
              <w:ind w:left="113"/>
              <w:rPr>
                <w:rFonts w:ascii="Rubik" w:hAnsi="Rubik" w:cs="Rubik"/>
                <w:b/>
                <w:bCs/>
                <w:color w:val="002060"/>
                <w:sz w:val="24"/>
                <w:szCs w:val="24"/>
              </w:rPr>
            </w:pPr>
            <w:r w:rsidRPr="00B06523">
              <w:rPr>
                <w:rFonts w:ascii="Rubik" w:hAnsi="Rubik" w:cs="Rubik"/>
                <w:b/>
                <w:bCs/>
                <w:color w:val="002060"/>
                <w:sz w:val="24"/>
                <w:szCs w:val="24"/>
              </w:rPr>
              <w:t>Recipients </w:t>
            </w:r>
          </w:p>
        </w:tc>
        <w:tc>
          <w:tcPr>
            <w:tcW w:w="5130" w:type="dxa"/>
            <w:tcBorders>
              <w:top w:val="single" w:sz="6" w:space="0" w:color="auto"/>
              <w:left w:val="single" w:sz="6" w:space="0" w:color="auto"/>
              <w:bottom w:val="single" w:sz="6" w:space="0" w:color="auto"/>
              <w:right w:val="single" w:sz="6" w:space="0" w:color="auto"/>
            </w:tcBorders>
            <w:shd w:val="clear" w:color="auto" w:fill="D9E2F3"/>
            <w:hideMark/>
          </w:tcPr>
          <w:p w14:paraId="4D5F76C6" w14:textId="77777777" w:rsidR="00710B4E" w:rsidRPr="00B06523" w:rsidRDefault="00710B4E" w:rsidP="00345BFF">
            <w:pPr>
              <w:spacing w:line="257" w:lineRule="auto"/>
              <w:ind w:left="113"/>
              <w:rPr>
                <w:rFonts w:ascii="Rubik" w:hAnsi="Rubik" w:cs="Rubik"/>
                <w:b/>
                <w:bCs/>
                <w:color w:val="002060"/>
                <w:sz w:val="24"/>
                <w:szCs w:val="24"/>
              </w:rPr>
            </w:pPr>
            <w:r w:rsidRPr="00B06523">
              <w:rPr>
                <w:rFonts w:ascii="Rubik" w:hAnsi="Rubik" w:cs="Rubik"/>
                <w:b/>
                <w:bCs/>
                <w:color w:val="002060"/>
                <w:sz w:val="24"/>
                <w:szCs w:val="24"/>
              </w:rPr>
              <w:t>Legal Basis </w:t>
            </w:r>
          </w:p>
        </w:tc>
      </w:tr>
      <w:tr w:rsidR="00710B4E" w:rsidRPr="00B06523" w14:paraId="7C7FC5C4" w14:textId="77777777" w:rsidTr="00345BFF">
        <w:trPr>
          <w:trHeight w:val="30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10380E0A" w14:textId="77777777" w:rsidR="00710B4E" w:rsidRPr="00B06523" w:rsidRDefault="00710B4E" w:rsidP="00345BFF">
            <w:pPr>
              <w:spacing w:line="257" w:lineRule="auto"/>
              <w:ind w:left="113"/>
              <w:rPr>
                <w:rFonts w:ascii="Rubik" w:hAnsi="Rubik" w:cs="Rubik"/>
                <w:b/>
                <w:bCs/>
                <w:color w:val="002060"/>
                <w:sz w:val="24"/>
                <w:szCs w:val="24"/>
              </w:rPr>
            </w:pPr>
            <w:r w:rsidRPr="00B06523">
              <w:rPr>
                <w:rFonts w:ascii="Rubik" w:hAnsi="Rubik" w:cs="Rubik"/>
                <w:b/>
                <w:bCs/>
                <w:color w:val="002060"/>
                <w:sz w:val="24"/>
                <w:szCs w:val="24"/>
              </w:rPr>
              <w:t xml:space="preserve">To enable the deployment of the flu vaccination programme for the purpose of identifying priority groups, to send invitations, to book appointments for flu vaccination and to manage and monitor </w:t>
            </w:r>
            <w:r w:rsidRPr="00B06523">
              <w:rPr>
                <w:rFonts w:ascii="Rubik" w:hAnsi="Rubik" w:cs="Rubik"/>
                <w:b/>
                <w:bCs/>
                <w:color w:val="002060"/>
                <w:sz w:val="24"/>
                <w:szCs w:val="24"/>
              </w:rPr>
              <w:lastRenderedPageBreak/>
              <w:t>immunisations via the Welsh Immunisation System.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517F5253" w14:textId="77777777" w:rsidR="00710B4E" w:rsidRPr="00B06523" w:rsidRDefault="00710B4E" w:rsidP="00710B4E">
            <w:pPr>
              <w:numPr>
                <w:ilvl w:val="0"/>
                <w:numId w:val="11"/>
              </w:numPr>
              <w:spacing w:line="257" w:lineRule="auto"/>
              <w:rPr>
                <w:rFonts w:ascii="Rubik" w:hAnsi="Rubik" w:cs="Rubik"/>
                <w:color w:val="002060"/>
                <w:sz w:val="24"/>
                <w:szCs w:val="24"/>
              </w:rPr>
            </w:pPr>
            <w:r w:rsidRPr="00B06523">
              <w:rPr>
                <w:rFonts w:ascii="Rubik" w:hAnsi="Rubik" w:cs="Rubik"/>
                <w:color w:val="002060"/>
                <w:sz w:val="24"/>
                <w:szCs w:val="24"/>
              </w:rPr>
              <w:lastRenderedPageBreak/>
              <w:t>Local Health Boards </w:t>
            </w:r>
          </w:p>
          <w:p w14:paraId="1C8618F0" w14:textId="77777777" w:rsidR="00710B4E" w:rsidRPr="00B06523" w:rsidRDefault="00710B4E" w:rsidP="00710B4E">
            <w:pPr>
              <w:numPr>
                <w:ilvl w:val="0"/>
                <w:numId w:val="11"/>
              </w:numPr>
              <w:spacing w:line="257" w:lineRule="auto"/>
              <w:rPr>
                <w:rFonts w:ascii="Rubik" w:hAnsi="Rubik" w:cs="Rubik"/>
                <w:color w:val="002060"/>
                <w:sz w:val="24"/>
                <w:szCs w:val="24"/>
              </w:rPr>
            </w:pPr>
            <w:r w:rsidRPr="00B06523">
              <w:rPr>
                <w:rFonts w:ascii="Rubik" w:hAnsi="Rubik" w:cs="Rubik"/>
                <w:color w:val="002060"/>
                <w:sz w:val="24"/>
                <w:szCs w:val="24"/>
              </w:rPr>
              <w:t>Digital Health and Care Wales (DHCW)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F778068" w14:textId="77777777" w:rsidR="00710B4E" w:rsidRPr="00B06523" w:rsidRDefault="00710B4E" w:rsidP="00345BFF">
            <w:pPr>
              <w:spacing w:line="257" w:lineRule="auto"/>
              <w:ind w:left="113"/>
              <w:rPr>
                <w:rFonts w:ascii="Rubik" w:hAnsi="Rubik" w:cs="Rubik"/>
                <w:color w:val="002060"/>
                <w:sz w:val="24"/>
                <w:szCs w:val="24"/>
              </w:rPr>
            </w:pPr>
            <w:r w:rsidRPr="00B06523">
              <w:rPr>
                <w:rFonts w:ascii="Rubik" w:hAnsi="Rubik" w:cs="Rubik"/>
                <w:color w:val="002060"/>
                <w:sz w:val="24"/>
                <w:szCs w:val="24"/>
              </w:rPr>
              <w:t>Article 6(1)(e) ‘necessary for the performance of task carried out in the public interest or in the exercise of official authority. . .’ </w:t>
            </w:r>
          </w:p>
          <w:p w14:paraId="06861217" w14:textId="77777777" w:rsidR="00710B4E" w:rsidRPr="00B06523" w:rsidRDefault="00710B4E" w:rsidP="00345BFF">
            <w:pPr>
              <w:spacing w:line="257" w:lineRule="auto"/>
              <w:ind w:left="113"/>
              <w:rPr>
                <w:rFonts w:ascii="Rubik" w:hAnsi="Rubik" w:cs="Rubik"/>
                <w:b/>
                <w:bCs/>
                <w:color w:val="002060"/>
                <w:sz w:val="24"/>
                <w:szCs w:val="24"/>
              </w:rPr>
            </w:pPr>
            <w:r w:rsidRPr="00B06523">
              <w:rPr>
                <w:rFonts w:ascii="Rubik" w:hAnsi="Rubik" w:cs="Rubik"/>
                <w:b/>
                <w:bCs/>
                <w:color w:val="002060"/>
                <w:sz w:val="24"/>
                <w:szCs w:val="24"/>
              </w:rPr>
              <w:t>and/or </w:t>
            </w:r>
          </w:p>
          <w:p w14:paraId="6070BCF1" w14:textId="77777777" w:rsidR="00710B4E" w:rsidRPr="00B06523" w:rsidRDefault="00710B4E" w:rsidP="00345BFF">
            <w:pPr>
              <w:spacing w:line="257" w:lineRule="auto"/>
              <w:ind w:left="113"/>
              <w:rPr>
                <w:rFonts w:ascii="Rubik" w:hAnsi="Rubik" w:cs="Rubik"/>
                <w:color w:val="002060"/>
                <w:sz w:val="24"/>
                <w:szCs w:val="24"/>
              </w:rPr>
            </w:pPr>
            <w:r w:rsidRPr="00B06523">
              <w:rPr>
                <w:rFonts w:ascii="Rubik" w:hAnsi="Rubik" w:cs="Rubik"/>
                <w:color w:val="002060"/>
                <w:sz w:val="24"/>
                <w:szCs w:val="24"/>
              </w:rPr>
              <w:lastRenderedPageBreak/>
              <w:t>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00D596B" w14:textId="77777777" w:rsidR="00710B4E" w:rsidRPr="00B06523" w:rsidRDefault="00710B4E" w:rsidP="00345BFF">
            <w:pPr>
              <w:spacing w:line="257" w:lineRule="auto"/>
              <w:ind w:left="113"/>
              <w:rPr>
                <w:rFonts w:ascii="Rubik" w:hAnsi="Rubik" w:cs="Rubik"/>
                <w:b/>
                <w:bCs/>
                <w:color w:val="002060"/>
                <w:sz w:val="24"/>
                <w:szCs w:val="24"/>
              </w:rPr>
            </w:pPr>
            <w:r w:rsidRPr="00B06523">
              <w:rPr>
                <w:rFonts w:ascii="Rubik" w:hAnsi="Rubik" w:cs="Rubik"/>
                <w:b/>
                <w:bCs/>
                <w:color w:val="002060"/>
                <w:sz w:val="24"/>
                <w:szCs w:val="24"/>
              </w:rPr>
              <w:t>and/or  </w:t>
            </w:r>
          </w:p>
          <w:p w14:paraId="7B2C3EFA" w14:textId="77777777" w:rsidR="00710B4E" w:rsidRPr="00B06523" w:rsidRDefault="00710B4E" w:rsidP="00345BFF">
            <w:pPr>
              <w:spacing w:line="257" w:lineRule="auto"/>
              <w:ind w:left="113"/>
              <w:rPr>
                <w:rFonts w:ascii="Rubik" w:hAnsi="Rubik" w:cs="Rubik"/>
                <w:color w:val="002060"/>
                <w:sz w:val="24"/>
                <w:szCs w:val="24"/>
              </w:rPr>
            </w:pPr>
            <w:r w:rsidRPr="00B06523">
              <w:rPr>
                <w:rFonts w:ascii="Rubik" w:hAnsi="Rubik" w:cs="Rubik"/>
                <w:color w:val="002060"/>
                <w:sz w:val="24"/>
                <w:szCs w:val="24"/>
              </w:rPr>
              <w:t>Article 9(2)(I) ‘…. necessary for the reasons of public interest in the area of public health, such as protecting against serious cross-border threats to health or ensuring high standards of quality and safety of health care and medicinal products or medical devices…’ </w:t>
            </w:r>
          </w:p>
          <w:p w14:paraId="6B78E63E" w14:textId="77777777" w:rsidR="00710B4E" w:rsidRPr="00B06523" w:rsidRDefault="00710B4E" w:rsidP="00345BFF">
            <w:pPr>
              <w:spacing w:line="257" w:lineRule="auto"/>
              <w:ind w:left="113"/>
              <w:rPr>
                <w:rFonts w:ascii="Rubik" w:hAnsi="Rubik" w:cs="Rubik"/>
                <w:color w:val="002060"/>
                <w:sz w:val="24"/>
                <w:szCs w:val="24"/>
              </w:rPr>
            </w:pPr>
            <w:r w:rsidRPr="00B06523">
              <w:rPr>
                <w:rFonts w:ascii="Rubik" w:hAnsi="Rubik" w:cs="Rubik"/>
                <w:color w:val="002060"/>
                <w:sz w:val="24"/>
                <w:szCs w:val="24"/>
              </w:rPr>
              <w:t> </w:t>
            </w:r>
          </w:p>
          <w:p w14:paraId="1825C83F" w14:textId="77777777" w:rsidR="00710B4E" w:rsidRPr="00B06523" w:rsidRDefault="00710B4E" w:rsidP="00345BFF">
            <w:pPr>
              <w:spacing w:line="257" w:lineRule="auto"/>
              <w:ind w:left="113"/>
              <w:rPr>
                <w:rFonts w:ascii="Rubik" w:hAnsi="Rubik" w:cs="Rubik"/>
                <w:color w:val="002060"/>
                <w:sz w:val="24"/>
                <w:szCs w:val="24"/>
              </w:rPr>
            </w:pPr>
            <w:r w:rsidRPr="00B06523">
              <w:rPr>
                <w:rFonts w:ascii="Rubik" w:hAnsi="Rubik" w:cs="Rubik"/>
                <w:color w:val="002060"/>
                <w:sz w:val="24"/>
                <w:szCs w:val="24"/>
              </w:rPr>
              <w:t>In accordance with paragraph 85 of the Schedule 3 to the National Health Service (General Medical Services Contracts) (Wales) Regulations 2023 (“GMS Contract Regulations”), Welsh Ministers have directed Local Health Boards to request GP contractors disclose confidential patient information that is relevant for the delivery of the flu vaccination programme (“the relevant information”), in line with the eligibility criteria set out in the Minister’s written statement. GP contractors are required to comply with this request under the terms of the GMS Contract Regulations. </w:t>
            </w:r>
          </w:p>
        </w:tc>
      </w:tr>
    </w:tbl>
    <w:p w14:paraId="4CD2E8D6" w14:textId="77777777" w:rsidR="00710B4E" w:rsidRDefault="00710B4E" w:rsidP="00710B4E">
      <w:pPr>
        <w:rPr>
          <w:rFonts w:ascii="Rubik" w:hAnsi="Rubik" w:cs="Rubik"/>
          <w:color w:val="002060"/>
          <w:sz w:val="24"/>
          <w:szCs w:val="24"/>
        </w:rPr>
      </w:pPr>
    </w:p>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sectPr w:rsidR="002779F4" w:rsidSect="00114978">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6B23" w14:textId="77777777" w:rsidR="007972AC" w:rsidRDefault="007972AC" w:rsidP="00FC5C88">
      <w:pPr>
        <w:spacing w:after="0" w:line="240" w:lineRule="auto"/>
      </w:pPr>
      <w:r>
        <w:separator/>
      </w:r>
    </w:p>
  </w:endnote>
  <w:endnote w:type="continuationSeparator" w:id="0">
    <w:p w14:paraId="6DD4FFD2" w14:textId="77777777" w:rsidR="007972AC" w:rsidRDefault="007972AC" w:rsidP="00FC5C88">
      <w:pPr>
        <w:spacing w:after="0" w:line="240" w:lineRule="auto"/>
      </w:pPr>
      <w:r>
        <w:continuationSeparator/>
      </w:r>
    </w:p>
  </w:endnote>
  <w:endnote w:type="continuationNotice" w:id="1">
    <w:p w14:paraId="51AD817C" w14:textId="77777777" w:rsidR="007972AC" w:rsidRDefault="00797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Rubik">
    <w:altName w:val="Arial"/>
    <w:charset w:val="00"/>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F91" w14:textId="3DB383F8" w:rsidR="00FC5C88" w:rsidRDefault="00FC5C88"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sidRPr="00464AC4">
      <w:rPr>
        <w:rFonts w:asciiTheme="majorHAnsi" w:eastAsiaTheme="majorEastAsia" w:hAnsiTheme="majorHAnsi" w:cstheme="majorBidi"/>
        <w:noProof/>
        <w:color w:val="21305E"/>
        <w:sz w:val="26"/>
        <w:szCs w:val="26"/>
      </w:rPr>
      <w:t>2</w:t>
    </w:r>
    <w:r w:rsidRPr="00464AC4">
      <w:rPr>
        <w:rFonts w:asciiTheme="majorHAnsi" w:eastAsiaTheme="majorEastAsia" w:hAnsiTheme="majorHAnsi" w:cstheme="majorBidi"/>
        <w:noProof/>
        <w:color w:val="21305E"/>
        <w:sz w:val="26"/>
        <w:szCs w:val="26"/>
      </w:rPr>
      <w:fldChar w:fldCharType="end"/>
    </w:r>
    <w:r>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FF35" w14:textId="77777777" w:rsidR="007972AC" w:rsidRDefault="007972AC" w:rsidP="00FC5C88">
      <w:pPr>
        <w:spacing w:after="0" w:line="240" w:lineRule="auto"/>
      </w:pPr>
      <w:r>
        <w:separator/>
      </w:r>
    </w:p>
  </w:footnote>
  <w:footnote w:type="continuationSeparator" w:id="0">
    <w:p w14:paraId="507D9A54" w14:textId="77777777" w:rsidR="007972AC" w:rsidRDefault="007972AC" w:rsidP="00FC5C88">
      <w:pPr>
        <w:spacing w:after="0" w:line="240" w:lineRule="auto"/>
      </w:pPr>
      <w:r>
        <w:continuationSeparator/>
      </w:r>
    </w:p>
  </w:footnote>
  <w:footnote w:type="continuationNotice" w:id="1">
    <w:p w14:paraId="0DEEC73C" w14:textId="77777777" w:rsidR="007972AC" w:rsidRDefault="00797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8D9C" w14:textId="77777777" w:rsidR="00E47445" w:rsidRDefault="00710B4E" w:rsidP="00E47445">
    <w:pPr>
      <w:pStyle w:val="NoSpacing"/>
    </w:pPr>
    <w:r>
      <w:object w:dxaOrig="1440" w:dyaOrig="1440" w14:anchorId="475BD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9.5pt;margin-top:-6.85pt;width:2in;height:74.95pt;z-index:251658240">
          <v:imagedata r:id="rId1" o:title=""/>
          <w10:wrap type="square"/>
        </v:shape>
        <o:OLEObject Type="Embed" ProgID="AmiProDocument" ShapeID="_x0000_s1026" DrawAspect="Content" ObjectID="_1815465359" r:id="rId2"/>
      </w:object>
    </w:r>
    <w:r w:rsidR="00E47445">
      <w:t>MEDDYGFA</w:t>
    </w:r>
  </w:p>
  <w:p w14:paraId="276E96CE" w14:textId="77777777" w:rsidR="00E47445" w:rsidRDefault="00E47445" w:rsidP="00E47445">
    <w:pPr>
      <w:pStyle w:val="NoSpacing"/>
    </w:pPr>
    <w:r>
      <w:t xml:space="preserve">MOSTYN HOUSE </w:t>
    </w:r>
  </w:p>
  <w:p w14:paraId="589C1D7F" w14:textId="77777777" w:rsidR="00E47445" w:rsidRDefault="00E47445" w:rsidP="00E47445">
    <w:pPr>
      <w:pStyle w:val="NoSpacing"/>
    </w:pPr>
    <w:r>
      <w:t>MEDICAL PRACTICE</w:t>
    </w:r>
  </w:p>
  <w:p w14:paraId="7EA3B754" w14:textId="77777777" w:rsidR="00E47445" w:rsidRDefault="00E47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18B9CDC"/>
    <w:multiLevelType w:val="hybridMultilevel"/>
    <w:tmpl w:val="A9DAB4E8"/>
    <w:lvl w:ilvl="0" w:tplc="DDDCDEDA">
      <w:start w:val="1"/>
      <w:numFmt w:val="bullet"/>
      <w:lvlText w:val=""/>
      <w:lvlJc w:val="left"/>
      <w:pPr>
        <w:ind w:left="720" w:hanging="360"/>
      </w:pPr>
      <w:rPr>
        <w:rFonts w:ascii="Symbol" w:hAnsi="Symbol" w:hint="default"/>
      </w:rPr>
    </w:lvl>
    <w:lvl w:ilvl="1" w:tplc="DAA6A916">
      <w:start w:val="1"/>
      <w:numFmt w:val="bullet"/>
      <w:lvlText w:val="o"/>
      <w:lvlJc w:val="left"/>
      <w:pPr>
        <w:ind w:left="1440" w:hanging="360"/>
      </w:pPr>
      <w:rPr>
        <w:rFonts w:ascii="Courier New" w:hAnsi="Courier New" w:hint="default"/>
      </w:rPr>
    </w:lvl>
    <w:lvl w:ilvl="2" w:tplc="4A60D616">
      <w:start w:val="1"/>
      <w:numFmt w:val="bullet"/>
      <w:lvlText w:val=""/>
      <w:lvlJc w:val="left"/>
      <w:pPr>
        <w:ind w:left="2160" w:hanging="360"/>
      </w:pPr>
      <w:rPr>
        <w:rFonts w:ascii="Wingdings" w:hAnsi="Wingdings" w:hint="default"/>
      </w:rPr>
    </w:lvl>
    <w:lvl w:ilvl="3" w:tplc="959C182E">
      <w:start w:val="1"/>
      <w:numFmt w:val="bullet"/>
      <w:lvlText w:val=""/>
      <w:lvlJc w:val="left"/>
      <w:pPr>
        <w:ind w:left="2880" w:hanging="360"/>
      </w:pPr>
      <w:rPr>
        <w:rFonts w:ascii="Symbol" w:hAnsi="Symbol" w:hint="default"/>
      </w:rPr>
    </w:lvl>
    <w:lvl w:ilvl="4" w:tplc="1BAAC71A">
      <w:start w:val="1"/>
      <w:numFmt w:val="bullet"/>
      <w:lvlText w:val="o"/>
      <w:lvlJc w:val="left"/>
      <w:pPr>
        <w:ind w:left="3600" w:hanging="360"/>
      </w:pPr>
      <w:rPr>
        <w:rFonts w:ascii="Courier New" w:hAnsi="Courier New" w:hint="default"/>
      </w:rPr>
    </w:lvl>
    <w:lvl w:ilvl="5" w:tplc="D6448A24">
      <w:start w:val="1"/>
      <w:numFmt w:val="bullet"/>
      <w:lvlText w:val=""/>
      <w:lvlJc w:val="left"/>
      <w:pPr>
        <w:ind w:left="4320" w:hanging="360"/>
      </w:pPr>
      <w:rPr>
        <w:rFonts w:ascii="Wingdings" w:hAnsi="Wingdings" w:hint="default"/>
      </w:rPr>
    </w:lvl>
    <w:lvl w:ilvl="6" w:tplc="F4CE3D64">
      <w:start w:val="1"/>
      <w:numFmt w:val="bullet"/>
      <w:lvlText w:val=""/>
      <w:lvlJc w:val="left"/>
      <w:pPr>
        <w:ind w:left="5040" w:hanging="360"/>
      </w:pPr>
      <w:rPr>
        <w:rFonts w:ascii="Symbol" w:hAnsi="Symbol" w:hint="default"/>
      </w:rPr>
    </w:lvl>
    <w:lvl w:ilvl="7" w:tplc="722ECDCC">
      <w:start w:val="1"/>
      <w:numFmt w:val="bullet"/>
      <w:lvlText w:val="o"/>
      <w:lvlJc w:val="left"/>
      <w:pPr>
        <w:ind w:left="5760" w:hanging="360"/>
      </w:pPr>
      <w:rPr>
        <w:rFonts w:ascii="Courier New" w:hAnsi="Courier New" w:hint="default"/>
      </w:rPr>
    </w:lvl>
    <w:lvl w:ilvl="8" w:tplc="AA82C950">
      <w:start w:val="1"/>
      <w:numFmt w:val="bullet"/>
      <w:lvlText w:val=""/>
      <w:lvlJc w:val="left"/>
      <w:pPr>
        <w:ind w:left="6480" w:hanging="360"/>
      </w:pPr>
      <w:rPr>
        <w:rFonts w:ascii="Wingdings" w:hAnsi="Wingdings" w:hint="default"/>
      </w:rPr>
    </w:lvl>
  </w:abstractNum>
  <w:abstractNum w:abstractNumId="3"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4"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8"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31D27"/>
    <w:multiLevelType w:val="hybridMultilevel"/>
    <w:tmpl w:val="2326E60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16cid:durableId="308630260">
    <w:abstractNumId w:val="3"/>
  </w:num>
  <w:num w:numId="2" w16cid:durableId="350374031">
    <w:abstractNumId w:val="7"/>
  </w:num>
  <w:num w:numId="3" w16cid:durableId="1188523327">
    <w:abstractNumId w:val="1"/>
  </w:num>
  <w:num w:numId="4" w16cid:durableId="290131618">
    <w:abstractNumId w:val="8"/>
  </w:num>
  <w:num w:numId="5" w16cid:durableId="1202747552">
    <w:abstractNumId w:val="5"/>
  </w:num>
  <w:num w:numId="6" w16cid:durableId="1581475803">
    <w:abstractNumId w:val="0"/>
  </w:num>
  <w:num w:numId="7" w16cid:durableId="574635054">
    <w:abstractNumId w:val="9"/>
  </w:num>
  <w:num w:numId="8" w16cid:durableId="969821492">
    <w:abstractNumId w:val="6"/>
  </w:num>
  <w:num w:numId="9" w16cid:durableId="1705711150">
    <w:abstractNumId w:val="4"/>
  </w:num>
  <w:num w:numId="10" w16cid:durableId="184904114">
    <w:abstractNumId w:val="2"/>
  </w:num>
  <w:num w:numId="11" w16cid:durableId="188107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26C"/>
    <w:rsid w:val="00042F5B"/>
    <w:rsid w:val="00062C17"/>
    <w:rsid w:val="000B55DE"/>
    <w:rsid w:val="000D7C17"/>
    <w:rsid w:val="000E6C70"/>
    <w:rsid w:val="000F35C9"/>
    <w:rsid w:val="000F50CF"/>
    <w:rsid w:val="00100380"/>
    <w:rsid w:val="001009FF"/>
    <w:rsid w:val="00114978"/>
    <w:rsid w:val="001253C4"/>
    <w:rsid w:val="001311EF"/>
    <w:rsid w:val="00137F77"/>
    <w:rsid w:val="00141D7F"/>
    <w:rsid w:val="00143F5E"/>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3775D"/>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B6460"/>
    <w:rsid w:val="004D0C87"/>
    <w:rsid w:val="004D1931"/>
    <w:rsid w:val="004D4FD1"/>
    <w:rsid w:val="004D503E"/>
    <w:rsid w:val="004E09F3"/>
    <w:rsid w:val="004E4C88"/>
    <w:rsid w:val="00523C71"/>
    <w:rsid w:val="00554F26"/>
    <w:rsid w:val="005620E5"/>
    <w:rsid w:val="005D340D"/>
    <w:rsid w:val="005F7CFA"/>
    <w:rsid w:val="00600162"/>
    <w:rsid w:val="006045C9"/>
    <w:rsid w:val="00607FE9"/>
    <w:rsid w:val="00613584"/>
    <w:rsid w:val="006147F6"/>
    <w:rsid w:val="00617B09"/>
    <w:rsid w:val="00653D45"/>
    <w:rsid w:val="00665686"/>
    <w:rsid w:val="0068168F"/>
    <w:rsid w:val="006B22C4"/>
    <w:rsid w:val="007019B5"/>
    <w:rsid w:val="00710B4E"/>
    <w:rsid w:val="00714A12"/>
    <w:rsid w:val="00725A24"/>
    <w:rsid w:val="007972AC"/>
    <w:rsid w:val="007F1199"/>
    <w:rsid w:val="00807910"/>
    <w:rsid w:val="00817275"/>
    <w:rsid w:val="0083587C"/>
    <w:rsid w:val="00840845"/>
    <w:rsid w:val="008410C3"/>
    <w:rsid w:val="008439A0"/>
    <w:rsid w:val="00846150"/>
    <w:rsid w:val="00856DF3"/>
    <w:rsid w:val="0086274D"/>
    <w:rsid w:val="008A4419"/>
    <w:rsid w:val="008B5B3C"/>
    <w:rsid w:val="008C5DC4"/>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943CD"/>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1D0"/>
    <w:rsid w:val="00C12CE0"/>
    <w:rsid w:val="00C16ED9"/>
    <w:rsid w:val="00C3255B"/>
    <w:rsid w:val="00C521A8"/>
    <w:rsid w:val="00C556C3"/>
    <w:rsid w:val="00C62324"/>
    <w:rsid w:val="00C77D03"/>
    <w:rsid w:val="00C831E7"/>
    <w:rsid w:val="00CB7022"/>
    <w:rsid w:val="00CE7E32"/>
    <w:rsid w:val="00D0074C"/>
    <w:rsid w:val="00D057C0"/>
    <w:rsid w:val="00D0673C"/>
    <w:rsid w:val="00D20FF4"/>
    <w:rsid w:val="00D50005"/>
    <w:rsid w:val="00D5433E"/>
    <w:rsid w:val="00D80124"/>
    <w:rsid w:val="00D9483B"/>
    <w:rsid w:val="00DC131E"/>
    <w:rsid w:val="00DC739B"/>
    <w:rsid w:val="00E00983"/>
    <w:rsid w:val="00E47445"/>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20EBE951"/>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 w:type="paragraph" w:styleId="NoSpacing">
    <w:name w:val="No Spacing"/>
    <w:uiPriority w:val="1"/>
    <w:qFormat/>
    <w:rsid w:val="00E47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6102">
      <w:bodyDiv w:val="1"/>
      <w:marLeft w:val="0"/>
      <w:marRight w:val="0"/>
      <w:marTop w:val="0"/>
      <w:marBottom w:val="0"/>
      <w:divBdr>
        <w:top w:val="none" w:sz="0" w:space="0" w:color="auto"/>
        <w:left w:val="none" w:sz="0" w:space="0" w:color="auto"/>
        <w:bottom w:val="none" w:sz="0" w:space="0" w:color="auto"/>
        <w:right w:val="none" w:sz="0" w:space="0" w:color="auto"/>
      </w:divBdr>
    </w:div>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dhcw.nhs.wales/systems-and-services/for-patients-and-citizens-of-wales/welsh-gp-record/" TargetMode="External"/><Relationship Id="rId26" Type="http://schemas.openxmlformats.org/officeDocument/2006/relationships/hyperlink" Target="https://healthandcareresearchwales.org/" TargetMode="External"/><Relationship Id="rId3" Type="http://schemas.openxmlformats.org/officeDocument/2006/relationships/customXml" Target="../customXml/item3.xml"/><Relationship Id="rId21" Type="http://schemas.openxmlformats.org/officeDocument/2006/relationships/hyperlink" Target="https://www.hqip.org.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hyperlink" Target="https://dhcw.nhs.wales/" TargetMode="External"/><Relationship Id="rId25" Type="http://schemas.openxmlformats.org/officeDocument/2006/relationships/hyperlink" Target="https://healthandcareresearchwale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ublichealthwales.wales.nhs.uk/" TargetMode="External"/><Relationship Id="rId29" Type="http://schemas.openxmlformats.org/officeDocument/2006/relationships/hyperlink" Target="https://saildatabank.com/governance/privacy-by-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0%20NEW%20IG%20Toolkit%20Bits/1.2%20Policies%20and%20Procedures/Policy%20-%20Records%20Management%20-%20V1.0.docx" TargetMode="External"/><Relationship Id="rId24" Type="http://schemas.openxmlformats.org/officeDocument/2006/relationships/hyperlink" Target="https://phw.nhs.wales/" TargetMode="External"/><Relationship Id="rId32" Type="http://schemas.openxmlformats.org/officeDocument/2006/relationships/hyperlink" Target="https://www.legislation.gov.uk/ukpga/2004/31/section/66"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hcw.nhs.wales/" TargetMode="External"/><Relationship Id="rId28" Type="http://schemas.openxmlformats.org/officeDocument/2006/relationships/hyperlink" Target="https://nwssp.nhs.wales/ourservices/legal-risk-services/privacy-notice/" TargetMode="External"/><Relationship Id="rId10" Type="http://schemas.openxmlformats.org/officeDocument/2006/relationships/endnotes" Target="endnotes.xml"/><Relationship Id="rId19" Type="http://schemas.openxmlformats.org/officeDocument/2006/relationships/hyperlink" Target="https://phw.nhs.wales/" TargetMode="External"/><Relationship Id="rId31" Type="http://schemas.openxmlformats.org/officeDocument/2006/relationships/hyperlink" Target="https://phw.nhs.wales/services-and-teams/wales-national-exercise-referral-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es@ico.org.uk" TargetMode="External"/><Relationship Id="rId22" Type="http://schemas.openxmlformats.org/officeDocument/2006/relationships/hyperlink" Target="https://www.hqip.org.uk/" TargetMode="External"/><Relationship Id="rId27" Type="http://schemas.openxmlformats.org/officeDocument/2006/relationships/hyperlink" Target="http://hiw.org.uk/?lang=en" TargetMode="External"/><Relationship Id="rId30" Type="http://schemas.openxmlformats.org/officeDocument/2006/relationships/hyperlink" Target="https://nwssp.nhs.wales/ourservices/medical-examiner-servic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D5D1451E-02ED-4322-8087-E6C05EEA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7DDF7-FF40-4B8C-96FF-A19362230B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a5865d-7273-48ed-b53e-0c295a587565"/>
    <ds:schemaRef ds:uri="4fdc30ae-5bf8-4ca2-b899-1ca3eb73cb35"/>
    <ds:schemaRef ds:uri="http://www.w3.org/XML/1998/namespace"/>
    <ds:schemaRef ds:uri="http://purl.org/dc/dcmitype/"/>
  </ds:schemaRefs>
</ds:datastoreItem>
</file>

<file path=customXml/itemProps4.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5811</Words>
  <Characters>33125</Characters>
  <Application>Microsoft Office Word</Application>
  <DocSecurity>0</DocSecurity>
  <Lines>276</Lines>
  <Paragraphs>77</Paragraphs>
  <ScaleCrop>false</ScaleCrop>
  <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Kate Kiddell (Llandudno - Mostyn House Medical Practice)</cp:lastModifiedBy>
  <cp:revision>8</cp:revision>
  <cp:lastPrinted>2023-11-06T16:33:00Z</cp:lastPrinted>
  <dcterms:created xsi:type="dcterms:W3CDTF">2023-11-06T16:34:00Z</dcterms:created>
  <dcterms:modified xsi:type="dcterms:W3CDTF">2025-07-31T10:10:00Z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0x01010049103C67816B1C41BDA9477F40B7F6E4</vt:lpwstr>
  </property>
  <property fmtid="{D5CDD505-2E9C-101B-9397-08002B2CF9AE}" pid="3" name="MediaServiceImageTags">
    <vt:lpwstr/>
  </property>
</Properties>
</file>